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408940</wp:posOffset>
            </wp:positionH>
            <wp:positionV relativeFrom="page">
              <wp:posOffset>997585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1022985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08"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9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jc w:val="center"/>
        <w:spacing w:after="0" w:line="210" w:lineRule="auto"/>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April 27, 2026</w:t>
      </w:r>
    </w:p>
    <w:p>
      <w:pPr>
        <w:spacing w:after="0" w:line="200" w:lineRule="exact"/>
        <w:rPr>
          <w:sz w:val="24"/>
          <w:szCs w:val="24"/>
          <w:color w:val="auto"/>
        </w:rPr>
      </w:pPr>
    </w:p>
    <w:p>
      <w:pPr>
        <w:spacing w:after="0" w:line="26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Allbirds, Inc.</w:t>
      </w:r>
    </w:p>
    <w:p>
      <w:pPr>
        <w:jc w:val="center"/>
        <w:spacing w:after="0" w:line="206"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00" w:lineRule="exact"/>
        <w:rPr>
          <w:sz w:val="24"/>
          <w:szCs w:val="24"/>
          <w:color w:val="auto"/>
        </w:rPr>
      </w:pPr>
    </w:p>
    <w:p>
      <w:pPr>
        <w:spacing w:after="0" w:line="273" w:lineRule="exact"/>
        <w:rPr>
          <w:sz w:val="24"/>
          <w:szCs w:val="24"/>
          <w:color w:val="auto"/>
        </w:rPr>
      </w:pPr>
    </w:p>
    <w:tbl>
      <w:tblPr>
        <w:tblLayout w:type="fixed"/>
        <w:tblInd w:w="1000" w:type="dxa"/>
        <w:tblCellMar>
          <w:top w:w="0" w:type="dxa"/>
          <w:left w:w="0" w:type="dxa"/>
          <w:bottom w:w="0" w:type="dxa"/>
          <w:right w:w="0" w:type="dxa"/>
        </w:tblCellMar>
      </w:tblPr>
      <w:tr>
        <w:trPr>
          <w:trHeight w:val="221"/>
        </w:trPr>
        <w:tc>
          <w:tcPr>
            <w:tcW w:w="2180" w:type="dxa"/>
            <w:vAlign w:val="bottom"/>
          </w:tcPr>
          <w:p>
            <w:pPr>
              <w:jc w:val="center"/>
              <w:ind w:right="46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8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001-40963</w:t>
            </w:r>
          </w:p>
        </w:tc>
        <w:tc>
          <w:tcPr>
            <w:tcW w:w="1780" w:type="dxa"/>
            <w:vAlign w:val="bottom"/>
          </w:tcPr>
          <w:p>
            <w:pPr>
              <w:jc w:val="center"/>
              <w:ind w:left="603"/>
              <w:spacing w:after="0"/>
              <w:rPr>
                <w:sz w:val="20"/>
                <w:szCs w:val="20"/>
                <w:color w:val="auto"/>
              </w:rPr>
            </w:pPr>
            <w:r>
              <w:rPr>
                <w:rFonts w:ascii="Times New Roman" w:cs="Times New Roman" w:eastAsia="Times New Roman" w:hAnsi="Times New Roman"/>
                <w:sz w:val="18"/>
                <w:szCs w:val="18"/>
                <w:b w:val="1"/>
                <w:bCs w:val="1"/>
                <w:color w:val="auto"/>
                <w:w w:val="98"/>
              </w:rPr>
              <w:t>47-3999983</w:t>
            </w:r>
          </w:p>
        </w:tc>
      </w:tr>
      <w:tr>
        <w:trPr>
          <w:trHeight w:val="146"/>
        </w:trPr>
        <w:tc>
          <w:tcPr>
            <w:tcW w:w="2180" w:type="dxa"/>
            <w:vAlign w:val="bottom"/>
          </w:tcPr>
          <w:p>
            <w:pPr>
              <w:jc w:val="center"/>
              <w:ind w:right="483"/>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80" w:type="dxa"/>
            <w:vAlign w:val="bottom"/>
          </w:tcPr>
          <w:p>
            <w:pPr>
              <w:ind w:left="202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603"/>
              <w:spacing w:after="0" w:line="146" w:lineRule="exact"/>
              <w:rPr>
                <w:sz w:val="20"/>
                <w:szCs w:val="20"/>
                <w:color w:val="auto"/>
              </w:rPr>
            </w:pPr>
            <w:r>
              <w:rPr>
                <w:rFonts w:ascii="Times New Roman" w:cs="Times New Roman" w:eastAsia="Times New Roman" w:hAnsi="Times New Roman"/>
                <w:sz w:val="14"/>
                <w:szCs w:val="14"/>
                <w:b w:val="1"/>
                <w:bCs w:val="1"/>
                <w:color w:val="auto"/>
                <w:w w:val="99"/>
              </w:rPr>
              <w:t>(IRS Employer</w:t>
            </w:r>
          </w:p>
        </w:tc>
      </w:tr>
      <w:tr>
        <w:trPr>
          <w:trHeight w:val="186"/>
        </w:trPr>
        <w:tc>
          <w:tcPr>
            <w:tcW w:w="2180" w:type="dxa"/>
            <w:vAlign w:val="bottom"/>
          </w:tcPr>
          <w:p>
            <w:pPr>
              <w:jc w:val="center"/>
              <w:ind w:right="463"/>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8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60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5"/>
        </w:trPr>
        <w:tc>
          <w:tcPr>
            <w:tcW w:w="218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530 Washington St.</w:t>
            </w:r>
          </w:p>
        </w:tc>
        <w:tc>
          <w:tcPr>
            <w:tcW w:w="1780" w:type="dxa"/>
            <w:vAlign w:val="bottom"/>
          </w:tcPr>
          <w:p>
            <w:pPr>
              <w:spacing w:after="0"/>
              <w:rPr>
                <w:sz w:val="24"/>
                <w:szCs w:val="24"/>
                <w:color w:val="auto"/>
              </w:rPr>
            </w:pPr>
          </w:p>
        </w:tc>
      </w:tr>
      <w:tr>
        <w:trPr>
          <w:trHeight w:val="174"/>
        </w:trPr>
        <w:tc>
          <w:tcPr>
            <w:tcW w:w="2180" w:type="dxa"/>
            <w:vAlign w:val="bottom"/>
          </w:tcPr>
          <w:p>
            <w:pPr>
              <w:spacing w:after="0"/>
              <w:rPr>
                <w:sz w:val="15"/>
                <w:szCs w:val="15"/>
                <w:color w:val="auto"/>
              </w:rPr>
            </w:pPr>
          </w:p>
        </w:tc>
        <w:tc>
          <w:tcPr>
            <w:tcW w:w="4980" w:type="dxa"/>
            <w:vAlign w:val="bottom"/>
          </w:tcPr>
          <w:p>
            <w:pPr>
              <w:jc w:val="center"/>
              <w:ind w:right="20"/>
              <w:spacing w:after="0" w:line="174" w:lineRule="exact"/>
              <w:rPr>
                <w:sz w:val="20"/>
                <w:szCs w:val="20"/>
                <w:color w:val="auto"/>
              </w:rPr>
            </w:pPr>
            <w:r>
              <w:rPr>
                <w:rFonts w:ascii="Times New Roman" w:cs="Times New Roman" w:eastAsia="Times New Roman" w:hAnsi="Times New Roman"/>
                <w:sz w:val="18"/>
                <w:szCs w:val="18"/>
                <w:b w:val="1"/>
                <w:bCs w:val="1"/>
                <w:color w:val="auto"/>
                <w:w w:val="97"/>
              </w:rPr>
              <w:t>San Francisco, CA 94111</w:t>
            </w:r>
          </w:p>
        </w:tc>
        <w:tc>
          <w:tcPr>
            <w:tcW w:w="1780" w:type="dxa"/>
            <w:vAlign w:val="bottom"/>
          </w:tcPr>
          <w:p>
            <w:pPr>
              <w:spacing w:after="0"/>
              <w:rPr>
                <w:sz w:val="15"/>
                <w:szCs w:val="15"/>
                <w:color w:val="auto"/>
              </w:rPr>
            </w:pPr>
          </w:p>
        </w:tc>
      </w:tr>
      <w:tr>
        <w:trPr>
          <w:trHeight w:val="186"/>
        </w:trPr>
        <w:tc>
          <w:tcPr>
            <w:tcW w:w="2180" w:type="dxa"/>
            <w:vAlign w:val="bottom"/>
          </w:tcPr>
          <w:p>
            <w:pPr>
              <w:spacing w:after="0"/>
              <w:rPr>
                <w:sz w:val="16"/>
                <w:szCs w:val="16"/>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371"/>
        </w:trPr>
        <w:tc>
          <w:tcPr>
            <w:tcW w:w="2180" w:type="dxa"/>
            <w:vAlign w:val="bottom"/>
          </w:tcPr>
          <w:p>
            <w:pPr>
              <w:spacing w:after="0"/>
              <w:rPr>
                <w:sz w:val="24"/>
                <w:szCs w:val="24"/>
                <w:color w:val="auto"/>
              </w:rPr>
            </w:pPr>
          </w:p>
        </w:tc>
        <w:tc>
          <w:tcPr>
            <w:tcW w:w="4980" w:type="dxa"/>
            <w:vAlign w:val="bottom"/>
          </w:tcPr>
          <w:p>
            <w:pPr>
              <w:jc w:val="right"/>
              <w:ind w:right="1900"/>
              <w:spacing w:after="0"/>
              <w:rPr>
                <w:sz w:val="20"/>
                <w:szCs w:val="20"/>
                <w:color w:val="auto"/>
              </w:rPr>
            </w:pPr>
            <w:r>
              <w:rPr>
                <w:rFonts w:ascii="Times New Roman" w:cs="Times New Roman" w:eastAsia="Times New Roman" w:hAnsi="Times New Roman"/>
                <w:sz w:val="18"/>
                <w:szCs w:val="18"/>
                <w:b w:val="1"/>
                <w:bCs w:val="1"/>
                <w:color w:val="auto"/>
              </w:rPr>
              <w:t>(628) 225-4848</w:t>
            </w:r>
          </w:p>
        </w:tc>
        <w:tc>
          <w:tcPr>
            <w:tcW w:w="1780" w:type="dxa"/>
            <w:vAlign w:val="bottom"/>
          </w:tcPr>
          <w:p>
            <w:pPr>
              <w:spacing w:after="0"/>
              <w:rPr>
                <w:sz w:val="24"/>
                <w:szCs w:val="24"/>
                <w:color w:val="auto"/>
              </w:rPr>
            </w:pPr>
          </w:p>
        </w:tc>
      </w:tr>
      <w:tr>
        <w:trPr>
          <w:trHeight w:val="186"/>
        </w:trPr>
        <w:tc>
          <w:tcPr>
            <w:tcW w:w="2180" w:type="dxa"/>
            <w:vAlign w:val="bottom"/>
          </w:tcPr>
          <w:p>
            <w:pPr>
              <w:spacing w:after="0"/>
              <w:rPr>
                <w:sz w:val="16"/>
                <w:szCs w:val="16"/>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1780" w:type="dxa"/>
            <w:vAlign w:val="bottom"/>
          </w:tcPr>
          <w:p>
            <w:pPr>
              <w:spacing w:after="0"/>
              <w:rPr>
                <w:sz w:val="16"/>
                <w:szCs w:val="16"/>
                <w:color w:val="auto"/>
              </w:rPr>
            </w:pPr>
          </w:p>
        </w:tc>
      </w:tr>
      <w:tr>
        <w:trPr>
          <w:trHeight w:val="276"/>
        </w:trPr>
        <w:tc>
          <w:tcPr>
            <w:tcW w:w="2180" w:type="dxa"/>
            <w:vAlign w:val="bottom"/>
          </w:tcPr>
          <w:p>
            <w:pPr>
              <w:spacing w:after="0"/>
              <w:rPr>
                <w:sz w:val="24"/>
                <w:szCs w:val="24"/>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1780" w:type="dxa"/>
            <w:vAlign w:val="bottom"/>
          </w:tcPr>
          <w:p>
            <w:pPr>
              <w:spacing w:after="0"/>
              <w:rPr>
                <w:sz w:val="24"/>
                <w:szCs w:val="24"/>
                <w:color w:val="auto"/>
              </w:rPr>
            </w:pPr>
          </w:p>
        </w:tc>
      </w:tr>
      <w:tr>
        <w:trPr>
          <w:trHeight w:val="186"/>
        </w:trPr>
        <w:tc>
          <w:tcPr>
            <w:tcW w:w="2180" w:type="dxa"/>
            <w:vAlign w:val="bottom"/>
          </w:tcPr>
          <w:p>
            <w:pPr>
              <w:spacing w:after="0"/>
              <w:rPr>
                <w:sz w:val="16"/>
                <w:szCs w:val="16"/>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6"/>
                <w:szCs w:val="16"/>
                <w:color w:val="auto"/>
              </w:rPr>
            </w:pPr>
          </w:p>
        </w:tc>
      </w:tr>
      <w:tr>
        <w:trPr>
          <w:trHeight w:val="425"/>
        </w:trPr>
        <w:tc>
          <w:tcPr>
            <w:tcW w:w="2180" w:type="dxa"/>
            <w:vAlign w:val="bottom"/>
          </w:tcPr>
          <w:p>
            <w:pPr>
              <w:spacing w:after="0"/>
              <w:rPr>
                <w:sz w:val="24"/>
                <w:szCs w:val="24"/>
                <w:color w:val="auto"/>
              </w:rPr>
            </w:pPr>
          </w:p>
        </w:tc>
        <w:tc>
          <w:tcPr>
            <w:tcW w:w="4980" w:type="dxa"/>
            <w:vAlign w:val="bottom"/>
          </w:tcPr>
          <w:p>
            <w:pPr>
              <w:jc w:val="right"/>
              <w:ind w:right="920"/>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1780" w:type="dxa"/>
            <w:vAlign w:val="bottom"/>
          </w:tcPr>
          <w:p>
            <w:pPr>
              <w:spacing w:after="0"/>
              <w:rPr>
                <w:sz w:val="24"/>
                <w:szCs w:val="24"/>
                <w:color w:val="auto"/>
              </w:rPr>
            </w:pPr>
          </w:p>
        </w:tc>
      </w:tr>
    </w:tbl>
    <w:p>
      <w:pPr>
        <w:spacing w:after="0" w:line="179" w:lineRule="exact"/>
        <w:rPr>
          <w:sz w:val="24"/>
          <w:szCs w:val="24"/>
          <w:color w:val="auto"/>
        </w:rPr>
      </w:pPr>
    </w:p>
    <w:p>
      <w:pPr>
        <w:ind w:firstLine="3"/>
        <w:spacing w:after="0" w:line="24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0" w:lineRule="exact"/>
        <w:rPr>
          <w:sz w:val="24"/>
          <w:szCs w:val="24"/>
          <w:color w:val="auto"/>
        </w:rPr>
      </w:pPr>
    </w:p>
    <w:p>
      <w:pPr>
        <w:ind w:left="340" w:hanging="33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ind w:left="340" w:hanging="334"/>
        <w:spacing w:after="0" w:line="199"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340" w:hanging="334"/>
        <w:spacing w:after="0" w:line="215"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340" w:hanging="33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9"/>
        </w:trPr>
        <w:tc>
          <w:tcPr>
            <w:tcW w:w="4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27"/>
        </w:trPr>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 A common stock, $0.0001 par value</w:t>
            </w:r>
          </w:p>
        </w:tc>
        <w:tc>
          <w:tcPr>
            <w:tcW w:w="16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BIRD</w:t>
            </w:r>
          </w:p>
        </w:tc>
        <w:tc>
          <w:tcPr>
            <w:tcW w:w="16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Nasdaq Stock Market LLC</w:t>
            </w:r>
          </w:p>
        </w:tc>
      </w:tr>
    </w:tbl>
    <w:p>
      <w:pPr>
        <w:spacing w:after="0" w:line="292" w:lineRule="exact"/>
        <w:rPr>
          <w:sz w:val="24"/>
          <w:szCs w:val="24"/>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0" w:lineRule="exact"/>
        <w:rPr>
          <w:sz w:val="24"/>
          <w:szCs w:val="24"/>
          <w:color w:val="auto"/>
        </w:rPr>
      </w:pPr>
    </w:p>
    <w:p>
      <w:pPr>
        <w:ind w:right="180"/>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853440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75565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100965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325" w:lineRule="exact"/>
        <w:rPr>
          <w:sz w:val="20"/>
          <w:szCs w:val="20"/>
          <w:color w:val="auto"/>
        </w:rPr>
      </w:pPr>
    </w:p>
    <w:p>
      <w:pPr>
        <w:ind w:right="100" w:firstLine="433"/>
        <w:spacing w:after="0" w:line="238" w:lineRule="auto"/>
        <w:rPr>
          <w:sz w:val="20"/>
          <w:szCs w:val="20"/>
          <w:color w:val="auto"/>
        </w:rPr>
      </w:pPr>
      <w:r>
        <w:rPr>
          <w:rFonts w:ascii="Times New Roman" w:cs="Times New Roman" w:eastAsia="Times New Roman" w:hAnsi="Times New Roman"/>
          <w:sz w:val="18"/>
          <w:szCs w:val="18"/>
          <w:color w:val="auto"/>
        </w:rPr>
        <w:t>On April 28, 2026, the Company entered into a Class A Common Stock Sales Agreement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with Chardan Capital Markets LLC (“</w:t>
      </w:r>
      <w:r>
        <w:rPr>
          <w:rFonts w:ascii="Times New Roman" w:cs="Times New Roman" w:eastAsia="Times New Roman" w:hAnsi="Times New Roman"/>
          <w:sz w:val="18"/>
          <w:szCs w:val="18"/>
          <w:u w:val="single" w:color="auto"/>
          <w:color w:val="auto"/>
        </w:rPr>
        <w:t>Chardan</w:t>
      </w:r>
      <w:r>
        <w:rPr>
          <w:rFonts w:ascii="Times New Roman" w:cs="Times New Roman" w:eastAsia="Times New Roman" w:hAnsi="Times New Roman"/>
          <w:sz w:val="18"/>
          <w:szCs w:val="18"/>
          <w:color w:val="auto"/>
        </w:rPr>
        <w:t>”), to sell shares of its Class A Common Stock (the “</w:t>
      </w:r>
      <w:r>
        <w:rPr>
          <w:rFonts w:ascii="Times New Roman" w:cs="Times New Roman" w:eastAsia="Times New Roman" w:hAnsi="Times New Roman"/>
          <w:sz w:val="18"/>
          <w:szCs w:val="18"/>
          <w:u w:val="single" w:color="auto"/>
          <w:color w:val="auto"/>
        </w:rPr>
        <w:t>ATM Shares</w:t>
      </w:r>
      <w:r>
        <w:rPr>
          <w:rFonts w:ascii="Times New Roman" w:cs="Times New Roman" w:eastAsia="Times New Roman" w:hAnsi="Times New Roman"/>
          <w:sz w:val="18"/>
          <w:szCs w:val="18"/>
          <w:color w:val="auto"/>
        </w:rPr>
        <w:t>”), from time to time, through an “at the market offering” program under which Chardan, acting as sales agent or principal (including through its affiliates), will offer and sell the ATM Shares. The sales, if any, of the ATM Shares made under the Sales Agreement will be made by any method permitted by law deemed to be an “at the market offering” as defined in Rule 415 promulgated under the Securities Act of 1933, as amended.</w:t>
      </w:r>
    </w:p>
    <w:p>
      <w:pPr>
        <w:spacing w:after="0" w:line="179" w:lineRule="exact"/>
        <w:rPr>
          <w:sz w:val="20"/>
          <w:szCs w:val="20"/>
          <w:color w:val="auto"/>
        </w:rPr>
      </w:pPr>
    </w:p>
    <w:p>
      <w:pPr>
        <w:ind w:right="120" w:firstLine="433"/>
        <w:spacing w:after="0" w:line="231" w:lineRule="auto"/>
        <w:rPr>
          <w:sz w:val="20"/>
          <w:szCs w:val="20"/>
          <w:color w:val="auto"/>
        </w:rPr>
      </w:pPr>
      <w:r>
        <w:rPr>
          <w:rFonts w:ascii="Times New Roman" w:cs="Times New Roman" w:eastAsia="Times New Roman" w:hAnsi="Times New Roman"/>
          <w:sz w:val="17"/>
          <w:szCs w:val="17"/>
          <w:color w:val="auto"/>
        </w:rPr>
        <w:t>The Company will pay Chardan a commission rate of up to 3% of the aggregate gross proceeds from each sale of ATM Shares. The Company will also reimburse Chardan for certain specified expenses in connection with the Sales Agreement. The Sales Agreement contains customary representations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warranties and conditions to the sale of the ATM Shares.</w:t>
      </w:r>
    </w:p>
    <w:p>
      <w:pPr>
        <w:spacing w:after="0" w:line="157" w:lineRule="exact"/>
        <w:rPr>
          <w:sz w:val="20"/>
          <w:szCs w:val="20"/>
          <w:color w:val="auto"/>
        </w:rPr>
      </w:pPr>
    </w:p>
    <w:p>
      <w:pPr>
        <w:ind w:right="520" w:firstLine="433"/>
        <w:spacing w:after="0" w:line="234" w:lineRule="auto"/>
        <w:rPr>
          <w:sz w:val="20"/>
          <w:szCs w:val="20"/>
          <w:color w:val="auto"/>
        </w:rPr>
      </w:pPr>
      <w:r>
        <w:rPr>
          <w:rFonts w:ascii="Times New Roman" w:cs="Times New Roman" w:eastAsia="Times New Roman" w:hAnsi="Times New Roman"/>
          <w:sz w:val="18"/>
          <w:szCs w:val="18"/>
          <w:color w:val="auto"/>
        </w:rPr>
        <w:t>The Company is not obligated to sell any of the ATM Shares under the Sales Agreement and may at any time suspend sales thereunder. The Sales Agreement may be terminated by either the Company or Chardan with 10 days notice, or earlier under certain circumstances.</w:t>
      </w:r>
    </w:p>
    <w:p>
      <w:pPr>
        <w:spacing w:after="0" w:line="166" w:lineRule="exact"/>
        <w:rPr>
          <w:sz w:val="20"/>
          <w:szCs w:val="20"/>
          <w:color w:val="auto"/>
        </w:rPr>
      </w:pPr>
    </w:p>
    <w:p>
      <w:pPr>
        <w:jc w:val="both"/>
        <w:ind w:right="160" w:firstLine="433"/>
        <w:spacing w:after="0" w:line="235" w:lineRule="auto"/>
        <w:rPr>
          <w:sz w:val="20"/>
          <w:szCs w:val="20"/>
          <w:color w:val="auto"/>
        </w:rPr>
      </w:pPr>
      <w:r>
        <w:rPr>
          <w:rFonts w:ascii="Times New Roman" w:cs="Times New Roman" w:eastAsia="Times New Roman" w:hAnsi="Times New Roman"/>
          <w:sz w:val="17"/>
          <w:szCs w:val="17"/>
          <w:color w:val="auto"/>
        </w:rPr>
        <w:t>The ATM Shares will be issued pursuant to the Company’s shelf registration statement on Form S-3 (File No. 333-288434) filed by the Company with the SEC on June 30, 2025, and declared effective by the SEC on July 10, 2025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The Company filed a prospectus supplement (the “</w:t>
      </w:r>
      <w:r>
        <w:rPr>
          <w:rFonts w:ascii="Times New Roman" w:cs="Times New Roman" w:eastAsia="Times New Roman" w:hAnsi="Times New Roman"/>
          <w:sz w:val="17"/>
          <w:szCs w:val="17"/>
          <w:u w:val="single" w:color="auto"/>
          <w:color w:val="auto"/>
        </w:rPr>
        <w:t>Prospectus Supplement</w:t>
      </w:r>
      <w:r>
        <w:rPr>
          <w:rFonts w:ascii="Times New Roman" w:cs="Times New Roman" w:eastAsia="Times New Roman" w:hAnsi="Times New Roman"/>
          <w:sz w:val="17"/>
          <w:szCs w:val="17"/>
          <w:color w:val="auto"/>
        </w:rPr>
        <w:t>”), dated April 29, 2026, to the Registration Statement with the SEC in connection with the offer and sale of the ATM Shares.</w:t>
      </w:r>
    </w:p>
    <w:p>
      <w:pPr>
        <w:spacing w:after="0" w:line="168" w:lineRule="exact"/>
        <w:rPr>
          <w:sz w:val="20"/>
          <w:szCs w:val="20"/>
          <w:color w:val="auto"/>
        </w:rPr>
      </w:pPr>
    </w:p>
    <w:p>
      <w:pPr>
        <w:ind w:right="180" w:firstLine="433"/>
        <w:spacing w:after="0" w:line="225" w:lineRule="auto"/>
        <w:rPr>
          <w:sz w:val="20"/>
          <w:szCs w:val="20"/>
          <w:color w:val="auto"/>
        </w:rPr>
      </w:pPr>
      <w:r>
        <w:rPr>
          <w:rFonts w:ascii="Times New Roman" w:cs="Times New Roman" w:eastAsia="Times New Roman" w:hAnsi="Times New Roman"/>
          <w:sz w:val="17"/>
          <w:szCs w:val="17"/>
          <w:color w:val="auto"/>
        </w:rPr>
        <w:t>The foregoing description of the Sales Agreement is not complete and is qualified in its entirety by reference to the full text of such agreement, a copy of which is filed as Exhibit 10.1 to this Current Report on Form 8-K and incorporated herein by reference. The representations, warranties and covenants contained in such agreement were made only for purposes of such agreement and as of specific date, were solely for the benefit of the parties to such</w:t>
      </w:r>
    </w:p>
    <w:p>
      <w:pPr>
        <w:spacing w:after="0"/>
        <w:rPr>
          <w:sz w:val="20"/>
          <w:szCs w:val="20"/>
          <w:color w:val="auto"/>
        </w:rPr>
      </w:pPr>
      <w:r>
        <w:rPr>
          <w:rFonts w:ascii="Times New Roman" w:cs="Times New Roman" w:eastAsia="Times New Roman" w:hAnsi="Times New Roman"/>
          <w:sz w:val="18"/>
          <w:szCs w:val="18"/>
          <w:color w:val="auto"/>
        </w:rPr>
        <w:t>agreement and may be subject to limitations agreed upon by the contracting parties.</w:t>
      </w:r>
    </w:p>
    <w:p>
      <w:pPr>
        <w:spacing w:after="0" w:line="200" w:lineRule="exact"/>
        <w:rPr>
          <w:sz w:val="20"/>
          <w:szCs w:val="20"/>
          <w:color w:val="auto"/>
        </w:rPr>
      </w:pPr>
    </w:p>
    <w:p>
      <w:pPr>
        <w:spacing w:after="0" w:line="23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325" w:lineRule="exact"/>
        <w:rPr>
          <w:sz w:val="20"/>
          <w:szCs w:val="20"/>
          <w:color w:val="auto"/>
        </w:rPr>
      </w:pPr>
    </w:p>
    <w:p>
      <w:pPr>
        <w:ind w:right="180" w:firstLine="636"/>
        <w:spacing w:after="0" w:line="242" w:lineRule="auto"/>
        <w:rPr>
          <w:sz w:val="20"/>
          <w:szCs w:val="20"/>
          <w:color w:val="auto"/>
        </w:rPr>
      </w:pPr>
      <w:r>
        <w:rPr>
          <w:rFonts w:ascii="Times New Roman" w:cs="Times New Roman" w:eastAsia="Times New Roman" w:hAnsi="Times New Roman"/>
          <w:sz w:val="18"/>
          <w:szCs w:val="18"/>
          <w:color w:val="auto"/>
        </w:rPr>
        <w:t>In furtherance of entry into the Sales Agreement, effective as of April 27, 2026, the Company terminated that certain Class A Common Stock Sales Agreement, dated June 30, 2025, between the Company and TD Securities (USA) LLC.</w:t>
      </w: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940" w:type="dxa"/>
            <w:vAlign w:val="bottom"/>
          </w:tcPr>
          <w:p>
            <w:pPr>
              <w:spacing w:after="0"/>
              <w:rPr>
                <w:sz w:val="20"/>
                <w:szCs w:val="20"/>
                <w:color w:val="auto"/>
              </w:rPr>
            </w:pPr>
          </w:p>
        </w:tc>
      </w:tr>
      <w:tr>
        <w:trPr>
          <w:trHeight w:val="436"/>
        </w:trPr>
        <w:tc>
          <w:tcPr>
            <w:tcW w:w="1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5"/>
        </w:trPr>
        <w:tc>
          <w:tcPr>
            <w:tcW w:w="1740" w:type="dxa"/>
            <w:vAlign w:val="bottom"/>
          </w:tcPr>
          <w:p>
            <w:pPr>
              <w:ind w:left="80"/>
              <w:spacing w:after="0" w:line="152" w:lineRule="exact"/>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4"/>
                <w:szCs w:val="14"/>
                <w:color w:val="auto"/>
              </w:rPr>
            </w:pPr>
          </w:p>
        </w:tc>
        <w:tc>
          <w:tcPr>
            <w:tcW w:w="922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color w:val="0094FF"/>
              </w:rPr>
              <w:t>Opinion of Holland &amp; Hart LLP</w:t>
            </w: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shd w:val="clear" w:color="auto" w:fill="0094FF"/>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19"/>
        </w:trPr>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9"/>
                <w:szCs w:val="19"/>
                <w:color w:val="auto"/>
              </w:rPr>
            </w:pPr>
          </w:p>
        </w:tc>
        <w:tc>
          <w:tcPr>
            <w:tcW w:w="9220" w:type="dxa"/>
            <w:vAlign w:val="bottom"/>
            <w:tcBorders>
              <w:bottom w:val="single" w:sz="8" w:color="0094FF"/>
            </w:tcBorders>
            <w:gridSpan w:val="2"/>
          </w:tcPr>
          <w:p>
            <w:pPr>
              <w:spacing w:after="0"/>
              <w:rPr>
                <w:sz w:val="20"/>
                <w:szCs w:val="20"/>
                <w:color w:val="auto"/>
              </w:rPr>
            </w:pPr>
            <w:r>
              <w:rPr>
                <w:rFonts w:ascii="Times New Roman" w:cs="Times New Roman" w:eastAsia="Times New Roman" w:hAnsi="Times New Roman"/>
                <w:sz w:val="18"/>
                <w:szCs w:val="18"/>
                <w:color w:val="0094FF"/>
                <w:w w:val="97"/>
              </w:rPr>
              <w:t>Class A Common Stock Sales Agreement, dated April 28, 2026, by and between the Company and Chardan Capital Markets, LLC</w:t>
            </w:r>
          </w:p>
        </w:tc>
      </w:tr>
      <w:tr>
        <w:trPr>
          <w:trHeight w:val="240"/>
        </w:trPr>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0"/>
                <w:szCs w:val="20"/>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Holland &amp; Hart LLP (included in Exhibit 5.1 hereto)</w:t>
            </w:r>
          </w:p>
        </w:tc>
      </w:tr>
      <w:tr>
        <w:trPr>
          <w:trHeight w:val="231"/>
        </w:trPr>
        <w:tc>
          <w:tcPr>
            <w:tcW w:w="1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73" w:lineRule="exact"/>
        <w:rPr>
          <w:sz w:val="20"/>
          <w:szCs w:val="20"/>
          <w:color w:val="auto"/>
        </w:rPr>
      </w:pPr>
    </w:p>
    <w:p>
      <w:pPr>
        <w:ind w:right="120" w:firstLine="433"/>
        <w:spacing w:after="0" w:line="231" w:lineRule="auto"/>
        <w:rPr>
          <w:sz w:val="20"/>
          <w:szCs w:val="20"/>
          <w:color w:val="auto"/>
        </w:rPr>
      </w:pPr>
      <w:r>
        <w:rPr>
          <w:rFonts w:ascii="Times New Roman" w:cs="Times New Roman" w:eastAsia="Times New Roman" w:hAnsi="Times New Roman"/>
          <w:sz w:val="17"/>
          <w:szCs w:val="17"/>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7"/>
          <w:szCs w:val="17"/>
          <w:color w:val="auto"/>
        </w:rPr>
        <w:t>some cases, you can identify forward-looking statements by terms such as “aim,” “anticipate,” “approach,” “believe,” “contemplate,” “could,” “estimate,” “expect,” “goal,” “intend,” “look,” “may,” “mission,” “plan,” “possible,” “potential,” “predict,” “project,” “pursue,” “should,” “target,” “will,” “would,” or the negative thereof and similar words and expressions. Forward-looking statements are based on management’s current expectations, beliefs and assumptions and on information currently available to us. Such statements are subject to a number of known and unknown risks, uncertainties and assumptions, and actual</w:t>
      </w:r>
    </w:p>
    <w:p>
      <w:pPr>
        <w:spacing w:after="0" w:line="2"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7"/>
          <w:szCs w:val="17"/>
          <w:color w:val="auto"/>
        </w:rPr>
        <w:t>results may differ materially from those expressed or implied in the forward-looking statements due to known and unknown risks, uncertainties and other important factors, including, without limitation, the risks referred to under the section “Risk Factors” in the Company’s Annual Report on Form 10-K for the annual period ended December 31, 2025, as any such factors may be updated from time to time in our other filings with the SEC, which are accessible on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SEC’s website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544830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spacing w:after="0" w:line="231" w:lineRule="auto"/>
        <w:rPr>
          <w:sz w:val="20"/>
          <w:szCs w:val="20"/>
          <w:color w:val="auto"/>
        </w:rPr>
      </w:pPr>
      <w:r>
        <w:rPr>
          <w:rFonts w:ascii="Times New Roman" w:cs="Times New Roman" w:eastAsia="Times New Roman" w:hAnsi="Times New Roman"/>
          <w:sz w:val="17"/>
          <w:szCs w:val="17"/>
          <w:color w:val="auto"/>
        </w:rPr>
        <w:t>www.sec.gov and the investor relations section of the Allbirds website at www.ir.allbirds.com. All forward-looking statements speak only as of the date of this Current Report on Form 8-K and, except as required by applicable law, we have no obligation to update or revise any forward-looking statements contained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544830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09"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6"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 April 29, 2026</w:t>
      </w:r>
    </w:p>
    <w:p>
      <w:pPr>
        <w:spacing w:after="0" w:line="18" w:lineRule="exact"/>
        <w:rPr>
          <w:sz w:val="20"/>
          <w:szCs w:val="20"/>
          <w:color w:val="auto"/>
        </w:rPr>
      </w:pPr>
    </w:p>
    <w:p>
      <w:pPr>
        <w:ind w:left="5340"/>
        <w:spacing w:after="0"/>
        <w:tabs>
          <w:tab w:leader="none" w:pos="5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10795</wp:posOffset>
            </wp:positionV>
            <wp:extent cx="3415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15665" cy="8255"/>
                    </a:xfrm>
                    <a:prstGeom prst="rect">
                      <a:avLst/>
                    </a:prstGeom>
                    <a:noFill/>
                  </pic:spPr>
                </pic:pic>
              </a:graphicData>
            </a:graphic>
          </wp:anchor>
        </w:drawing>
      </w:r>
    </w:p>
    <w:p>
      <w:pPr>
        <w:spacing w:after="0" w:line="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Joe Vernachio</w:t>
      </w:r>
    </w:p>
    <w:p>
      <w:pPr>
        <w:spacing w:after="0" w:line="2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20"/>
          </w:cols>
          <w:pgMar w:left="320" w:top="901" w:right="359" w:bottom="1440" w:gutter="0" w:footer="0" w:header="0"/>
        </w:sectPr>
      </w:pPr>
    </w:p>
    <w:bookmarkStart w:id="4" w:name="page5"/>
    <w:bookmarkEnd w:id="4"/>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3129915" cy="403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129915" cy="40386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29,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Allbirds,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530 Washington Street</w:t>
      </w:r>
    </w:p>
    <w:p>
      <w:pPr>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8" w:lineRule="exact"/>
        <w:rPr>
          <w:sz w:val="20"/>
          <w:szCs w:val="20"/>
          <w:color w:val="auto"/>
        </w:rPr>
      </w:pPr>
    </w:p>
    <w:p>
      <w:pPr>
        <w:jc w:val="both"/>
        <w:ind w:firstLine="433"/>
        <w:spacing w:after="0" w:line="248" w:lineRule="auto"/>
        <w:rPr>
          <w:sz w:val="20"/>
          <w:szCs w:val="20"/>
          <w:color w:val="auto"/>
        </w:rPr>
      </w:pPr>
      <w:r>
        <w:rPr>
          <w:rFonts w:ascii="Times New Roman" w:cs="Times New Roman" w:eastAsia="Times New Roman" w:hAnsi="Times New Roman"/>
          <w:sz w:val="17"/>
          <w:szCs w:val="17"/>
          <w:color w:val="auto"/>
        </w:rPr>
        <w:t>We have acted as counsel to Allbirds, Inc., a Delaware public benefit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connection with the issuance and sale, from time to time, of the shares of Class A common stock, $0.0001 par value per share of the Company (the “</w:t>
      </w:r>
      <w:r>
        <w:rPr>
          <w:rFonts w:ascii="Times New Roman" w:cs="Times New Roman" w:eastAsia="Times New Roman" w:hAnsi="Times New Roman"/>
          <w:sz w:val="17"/>
          <w:szCs w:val="17"/>
          <w:b w:val="1"/>
          <w:bCs w:val="1"/>
          <w:color w:val="auto"/>
        </w:rPr>
        <w:t>ATM Shares</w:t>
      </w:r>
      <w:r>
        <w:rPr>
          <w:rFonts w:ascii="Times New Roman" w:cs="Times New Roman" w:eastAsia="Times New Roman" w:hAnsi="Times New Roman"/>
          <w:sz w:val="17"/>
          <w:szCs w:val="17"/>
          <w:color w:val="auto"/>
        </w:rPr>
        <w:t>”), having an aggregate offering price of up to $50,000,000 through Chardan Capital Markets LLC (“</w:t>
      </w:r>
      <w:r>
        <w:rPr>
          <w:rFonts w:ascii="Times New Roman" w:cs="Times New Roman" w:eastAsia="Times New Roman" w:hAnsi="Times New Roman"/>
          <w:sz w:val="17"/>
          <w:szCs w:val="17"/>
          <w:b w:val="1"/>
          <w:bCs w:val="1"/>
          <w:color w:val="auto"/>
        </w:rPr>
        <w:t>Chardan</w:t>
      </w:r>
      <w:r>
        <w:rPr>
          <w:rFonts w:ascii="Times New Roman" w:cs="Times New Roman" w:eastAsia="Times New Roman" w:hAnsi="Times New Roman"/>
          <w:sz w:val="17"/>
          <w:szCs w:val="17"/>
          <w:color w:val="auto"/>
        </w:rPr>
        <w:t>”), as the sales agent, to be issued pursuant to the Company’s registration statement on Form S-3 (File No. 333-288434) filed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on June 30, 2025 and declared effective by the Commission on July 10, 2025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the base prospectus included in the Registration Statement (the “</w:t>
      </w:r>
      <w:r>
        <w:rPr>
          <w:rFonts w:ascii="Times New Roman" w:cs="Times New Roman" w:eastAsia="Times New Roman" w:hAnsi="Times New Roman"/>
          <w:sz w:val="17"/>
          <w:szCs w:val="17"/>
          <w:b w:val="1"/>
          <w:bCs w:val="1"/>
          <w:color w:val="auto"/>
        </w:rPr>
        <w:t>Base Prospectus</w:t>
      </w:r>
      <w:r>
        <w:rPr>
          <w:rFonts w:ascii="Times New Roman" w:cs="Times New Roman" w:eastAsia="Times New Roman" w:hAnsi="Times New Roman"/>
          <w:sz w:val="17"/>
          <w:szCs w:val="17"/>
          <w:color w:val="auto"/>
        </w:rPr>
        <w:t>”) and the prospectus supplement, dated April 29, 2026 and filed with the Commission on April 29, 2026 pursuant to Rule 424(b)(5) promulgated under the Securities Act (the “</w:t>
      </w:r>
      <w:r>
        <w:rPr>
          <w:rFonts w:ascii="Times New Roman" w:cs="Times New Roman" w:eastAsia="Times New Roman" w:hAnsi="Times New Roman"/>
          <w:sz w:val="17"/>
          <w:szCs w:val="17"/>
          <w:b w:val="1"/>
          <w:bCs w:val="1"/>
          <w:color w:val="auto"/>
        </w:rPr>
        <w:t>Prospectus Supplement</w:t>
      </w:r>
      <w:r>
        <w:rPr>
          <w:rFonts w:ascii="Times New Roman" w:cs="Times New Roman" w:eastAsia="Times New Roman" w:hAnsi="Times New Roman"/>
          <w:sz w:val="17"/>
          <w:szCs w:val="17"/>
          <w:color w:val="auto"/>
        </w:rPr>
        <w:t>” and together with the Base Prospectus, the “</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and that certain Class A Common Stock Sales Agreement dated as of April 28, 2026, by and between the Company and Chardan (the “</w:t>
      </w:r>
      <w:r>
        <w:rPr>
          <w:rFonts w:ascii="Times New Roman" w:cs="Times New Roman" w:eastAsia="Times New Roman" w:hAnsi="Times New Roman"/>
          <w:sz w:val="17"/>
          <w:szCs w:val="17"/>
          <w:b w:val="1"/>
          <w:bCs w:val="1"/>
          <w:color w:val="auto"/>
        </w:rPr>
        <w:t>Sales Agreement</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jc w:val="both"/>
        <w:ind w:firstLine="433"/>
        <w:spacing w:after="0" w:line="244" w:lineRule="auto"/>
        <w:rPr>
          <w:sz w:val="20"/>
          <w:szCs w:val="20"/>
          <w:color w:val="auto"/>
        </w:rPr>
      </w:pPr>
      <w:r>
        <w:rPr>
          <w:rFonts w:ascii="Times New Roman" w:cs="Times New Roman" w:eastAsia="Times New Roman" w:hAnsi="Times New Roman"/>
          <w:sz w:val="18"/>
          <w:szCs w:val="18"/>
          <w:color w:val="auto"/>
        </w:rPr>
        <w:t>This opinion letter is furnished to you at your request to enable you to fulfill the requirements of Item 601(b)(5) of Regulation S-K under the Securities Act in connection with the Registration Statement, and no opinion is expressed or may be implied herein as to any matter pertaining to the contents of the Registration Statement other than as to the valid issuance of the ATM Shares.</w:t>
      </w:r>
    </w:p>
    <w:p>
      <w:pPr>
        <w:spacing w:after="0" w:line="201" w:lineRule="exact"/>
        <w:rPr>
          <w:sz w:val="20"/>
          <w:szCs w:val="20"/>
          <w:color w:val="auto"/>
        </w:rPr>
      </w:pPr>
    </w:p>
    <w:p>
      <w:pPr>
        <w:jc w:val="both"/>
        <w:ind w:firstLine="433"/>
        <w:spacing w:after="0" w:line="245" w:lineRule="auto"/>
        <w:rPr>
          <w:sz w:val="20"/>
          <w:szCs w:val="20"/>
          <w:color w:val="auto"/>
        </w:rPr>
      </w:pPr>
      <w:r>
        <w:rPr>
          <w:rFonts w:ascii="Times New Roman" w:cs="Times New Roman" w:eastAsia="Times New Roman" w:hAnsi="Times New Roman"/>
          <w:sz w:val="18"/>
          <w:szCs w:val="18"/>
          <w:color w:val="auto"/>
        </w:rPr>
        <w:t>As the basis for the opinion hereinafter expressed, we have examined such statutes, including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corporate records and documents of the Company, certificates of officers of the Company and public officials, and other instruments and documents as we deemed relevant or necessary for the purposes of the opinion set forth below, including, but not limited to:</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the Registration Statement, including the Prospectus;</w:t>
      </w: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the Sales Agreement;</w:t>
      </w:r>
    </w:p>
    <w:p>
      <w:pPr>
        <w:spacing w:after="0" w:line="230" w:lineRule="exact"/>
        <w:rPr>
          <w:sz w:val="20"/>
          <w:szCs w:val="20"/>
          <w:color w:val="auto"/>
        </w:rPr>
      </w:pPr>
    </w:p>
    <w:p>
      <w:pPr>
        <w:jc w:val="both"/>
        <w:ind w:firstLine="433"/>
        <w:spacing w:after="0" w:line="244" w:lineRule="auto"/>
        <w:rPr>
          <w:sz w:val="20"/>
          <w:szCs w:val="20"/>
          <w:color w:val="auto"/>
        </w:rPr>
      </w:pPr>
      <w:r>
        <w:rPr>
          <w:rFonts w:ascii="Times New Roman" w:cs="Times New Roman" w:eastAsia="Times New Roman" w:hAnsi="Times New Roman"/>
          <w:sz w:val="18"/>
          <w:szCs w:val="18"/>
          <w:color w:val="auto"/>
        </w:rPr>
        <w:t>3.  the Ninth Amended and Restated Certificate of Incorporation of the Company, as filed with the Secretary of State of the State of Delaware on November 5, 2021, as amended by the Certificate of Amendment filed August 29, 2024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certified by the Secretary of State of the State of Delaware;</w:t>
      </w:r>
    </w:p>
    <w:p>
      <w:pPr>
        <w:spacing w:after="0" w:line="20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8"/>
          <w:szCs w:val="18"/>
          <w:color w:val="auto"/>
        </w:rPr>
        <w:t>4.  the Amended and Restated Bylaws of the Company, effective as of August 17, 2023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certified by the Corporate Secretary of the Company as being in full force and effect on the date hereof; and</w:t>
      </w:r>
    </w:p>
    <w:p>
      <w:pPr>
        <w:spacing w:after="0" w:line="186"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8"/>
          <w:szCs w:val="18"/>
          <w:color w:val="auto"/>
        </w:rPr>
        <w:t>5.  resolutions, minutes of meetings, and corporate records of actions taken by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committees thereof, as furnished and certified to us by the Company.</w:t>
      </w:r>
    </w:p>
    <w:p>
      <w:pPr>
        <w:spacing w:after="0" w:line="188" w:lineRule="exact"/>
        <w:rPr>
          <w:sz w:val="20"/>
          <w:szCs w:val="20"/>
          <w:color w:val="auto"/>
        </w:rPr>
      </w:pPr>
    </w:p>
    <w:p>
      <w:pPr>
        <w:jc w:val="both"/>
        <w:ind w:firstLine="433"/>
        <w:spacing w:after="0" w:line="233" w:lineRule="auto"/>
        <w:rPr>
          <w:sz w:val="20"/>
          <w:szCs w:val="20"/>
          <w:color w:val="auto"/>
        </w:rPr>
      </w:pPr>
      <w:r>
        <w:rPr>
          <w:rFonts w:ascii="Times New Roman" w:cs="Times New Roman" w:eastAsia="Times New Roman" w:hAnsi="Times New Roman"/>
          <w:sz w:val="18"/>
          <w:szCs w:val="18"/>
          <w:color w:val="auto"/>
        </w:rPr>
        <w:t>In making our examination, we have assumed (i) that all signatures on documents examined by us are genuine; (ii) the authenticity of all documents submitted to us as originals; (iii) the conformity with the original documents of all documents submitted to us as certified, conformed, electronic or photostatic copies; (iv) that each individual signing in a representative capacity (other than on behalf of the Company) any document reviewed by us had authority to sign in such capacity; (v) that each individual signing in a representative capacity any document reviewed by us had legal capacity to sign in such capacity; (vi) the truth, accuracy, and completeness of the information, representations, and warranties contained in the records, documents, instruments, and certificates we have reviewed; (vii) that the Registration Statement, Prospectus and the organizational documents of the Company, each as amended to the date hereof, will not have been amended from the date hereof in a manner that would affect</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3129915" cy="403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3129915" cy="403860"/>
                    </a:xfrm>
                    <a:prstGeom prst="rect">
                      <a:avLst/>
                    </a:prstGeom>
                    <a:noFill/>
                  </pic:spPr>
                </pic:pic>
              </a:graphicData>
            </a:graphic>
          </wp:anchor>
        </w:drawing>
        <w:t>the validity of the opinion rendered herein; and (viii) the accuracy, completeness and authenticity of certificates of public officials.</w:t>
      </w:r>
    </w:p>
    <w:p>
      <w:pPr>
        <w:spacing w:after="0" w:line="230" w:lineRule="exact"/>
        <w:rPr>
          <w:sz w:val="20"/>
          <w:szCs w:val="20"/>
          <w:color w:val="auto"/>
        </w:rPr>
      </w:pPr>
    </w:p>
    <w:p>
      <w:pPr>
        <w:jc w:val="both"/>
        <w:ind w:firstLine="433"/>
        <w:spacing w:after="0" w:line="232" w:lineRule="auto"/>
        <w:rPr>
          <w:sz w:val="20"/>
          <w:szCs w:val="20"/>
          <w:color w:val="auto"/>
        </w:rPr>
      </w:pPr>
      <w:r>
        <w:rPr>
          <w:rFonts w:ascii="Times New Roman" w:cs="Times New Roman" w:eastAsia="Times New Roman" w:hAnsi="Times New Roman"/>
          <w:sz w:val="18"/>
          <w:szCs w:val="18"/>
          <w:color w:val="auto"/>
        </w:rPr>
        <w:t>In connection with the opinion hereinafter expressed, we have also assumed that: (i) the ATM Shares will be issued and sold in compliance with federal and state securities laws and in the manner stated in the Registration Statement and the Prospectus; (ii) all corporate or other action required to be taken by the Company to duly authorize the issuance of the ATM Shares and the terms of the offering thereof, and any related documentation (including the execution, delivery and performance of the Sales Agreement and ATM Shares, and any related documentation referred to in our opinion set forth below) shall have been duly completed and shall remain in full force and effect; (iii) the Registration Statement and any amendments relating thereto will continue to be effective; (iv) the Company will remain duly organized, validly existing and in good standing under the laws of the State of Delaware; (v) at the time any ATM Shares are issued, (x) there will not have occurred any change in the law or in the Certificate of Incorporation affecting the issuance of such ATM Shares, and (y) no relevant corporate actions will have been modified or rescinded; (vi) the ATM Shares will be issued within the limits of the then remaining authorized but unreserved and unissued amounts of Class A common stock under the Certificate of Incorporation; and (vii) future issuances of ATM Shares will be made in accordance with the parameters established by the Board or a duly authorized Pricing Committee of the Board (a “</w:t>
      </w:r>
      <w:r>
        <w:rPr>
          <w:rFonts w:ascii="Times New Roman" w:cs="Times New Roman" w:eastAsia="Times New Roman" w:hAnsi="Times New Roman"/>
          <w:sz w:val="18"/>
          <w:szCs w:val="18"/>
          <w:b w:val="1"/>
          <w:bCs w:val="1"/>
          <w:color w:val="auto"/>
        </w:rPr>
        <w:t>Pricing Committee</w:t>
      </w:r>
      <w:r>
        <w:rPr>
          <w:rFonts w:ascii="Times New Roman" w:cs="Times New Roman" w:eastAsia="Times New Roman" w:hAnsi="Times New Roman"/>
          <w:sz w:val="18"/>
          <w:szCs w:val="18"/>
          <w:color w:val="auto"/>
        </w:rPr>
        <w:t>”), as such parameters may be established from time to time.</w:t>
      </w:r>
    </w:p>
    <w:p>
      <w:pPr>
        <w:spacing w:after="0" w:line="211" w:lineRule="exact"/>
        <w:rPr>
          <w:sz w:val="20"/>
          <w:szCs w:val="20"/>
          <w:color w:val="auto"/>
        </w:rPr>
      </w:pPr>
    </w:p>
    <w:p>
      <w:pPr>
        <w:jc w:val="both"/>
        <w:ind w:firstLine="433"/>
        <w:spacing w:after="0" w:line="239"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(i) the price per share for any ATM Shares issued will be equal to or greater than the minimum price authorized by the Board or a Pricing Committee in connection with the applicable issuance and sale of such ATM Shares and (ii) no event has occurred that causes the number of authorized shares of Class A common stock available for issuance by the Company to be less than the number of shares then issuable pursuant to the Sales Agreement and the Prospectus.</w:t>
      </w:r>
    </w:p>
    <w:p>
      <w:pPr>
        <w:spacing w:after="0" w:line="209" w:lineRule="exact"/>
        <w:rPr>
          <w:sz w:val="20"/>
          <w:szCs w:val="20"/>
          <w:color w:val="auto"/>
        </w:rPr>
      </w:pPr>
    </w:p>
    <w:p>
      <w:pPr>
        <w:jc w:val="both"/>
        <w:ind w:firstLine="433"/>
        <w:spacing w:after="0" w:line="258" w:lineRule="auto"/>
        <w:rPr>
          <w:sz w:val="20"/>
          <w:szCs w:val="20"/>
          <w:color w:val="auto"/>
        </w:rPr>
      </w:pPr>
      <w:r>
        <w:rPr>
          <w:rFonts w:ascii="Times New Roman" w:cs="Times New Roman" w:eastAsia="Times New Roman" w:hAnsi="Times New Roman"/>
          <w:sz w:val="17"/>
          <w:szCs w:val="17"/>
          <w:color w:val="auto"/>
        </w:rPr>
        <w:t>Based on the foregoing and on such legal considerations as we deem relevant, and subject to the limitations, qualifications, exceptions, and assumptions set forth herein and in reliance on the statements of fact contained in the documents we have examined, we are of the opinion that the ATM Shares to be offered and sold by the Company have been duly authorized and, when issued and sold by the Company against payment in full of the consideration therefor in accordance with the terms set out in the Prospectus and the terms of the Sales Agreement, will be validly issued, fully paid and non-assessable.</w:t>
      </w:r>
    </w:p>
    <w:p>
      <w:pPr>
        <w:spacing w:after="0" w:line="180" w:lineRule="exact"/>
        <w:rPr>
          <w:sz w:val="20"/>
          <w:szCs w:val="20"/>
          <w:color w:val="auto"/>
        </w:rPr>
      </w:pPr>
    </w:p>
    <w:p>
      <w:pPr>
        <w:jc w:val="both"/>
        <w:ind w:firstLine="433"/>
        <w:spacing w:after="0" w:line="238" w:lineRule="auto"/>
        <w:rPr>
          <w:sz w:val="20"/>
          <w:szCs w:val="20"/>
          <w:color w:val="auto"/>
        </w:rPr>
      </w:pPr>
      <w:r>
        <w:rPr>
          <w:rFonts w:ascii="Times New Roman" w:cs="Times New Roman" w:eastAsia="Times New Roman" w:hAnsi="Times New Roman"/>
          <w:sz w:val="18"/>
          <w:szCs w:val="18"/>
          <w:color w:val="auto"/>
        </w:rPr>
        <w:t>The opinion expressed herein is limited solely and in all respects to the DGCL and the federal laws of the United States of America that, in our experience, are applicable to transactions of the type contemplated by the Sales Agreement, and we express no opinion as to the laws of any other jurisdiction. We express no opinion as to any matter other than as expressly set forth above, and no other opinion is intended to be implied or inferred herefrom. The opinion expressed herein is given as of the date hereof and we undertake no obligation hereby and disclaim any obligation to advise you of any change in law, facts or circumstances occurring after the date hereof pertaining to any matter referred to herein.</w:t>
      </w:r>
    </w:p>
    <w:p>
      <w:pPr>
        <w:spacing w:after="0" w:line="206" w:lineRule="exact"/>
        <w:rPr>
          <w:sz w:val="20"/>
          <w:szCs w:val="20"/>
          <w:color w:val="auto"/>
        </w:rPr>
      </w:pPr>
    </w:p>
    <w:p>
      <w:pPr>
        <w:jc w:val="both"/>
        <w:ind w:firstLine="433"/>
        <w:spacing w:after="0" w:line="244" w:lineRule="auto"/>
        <w:rPr>
          <w:sz w:val="20"/>
          <w:szCs w:val="20"/>
          <w:color w:val="auto"/>
        </w:rPr>
      </w:pPr>
      <w:r>
        <w:rPr>
          <w:rFonts w:ascii="Times New Roman" w:cs="Times New Roman" w:eastAsia="Times New Roman" w:hAnsi="Times New Roman"/>
          <w:sz w:val="18"/>
          <w:szCs w:val="18"/>
          <w:color w:val="auto"/>
        </w:rPr>
        <w:t>This opinion is provided as a legal opinion only, effective as of the date of this letter, and not as representations of fact. We understand that you have made such independent investigations of the facts as you deemed necessary, and that the determination of the extent of those investigations that are necessary has been made independent of this opinion letter.</w:t>
      </w:r>
    </w:p>
    <w:p>
      <w:pPr>
        <w:spacing w:after="0" w:line="203" w:lineRule="exact"/>
        <w:rPr>
          <w:sz w:val="20"/>
          <w:szCs w:val="20"/>
          <w:color w:val="auto"/>
        </w:rPr>
      </w:pPr>
    </w:p>
    <w:p>
      <w:pPr>
        <w:jc w:val="both"/>
        <w:ind w:firstLine="433"/>
        <w:spacing w:after="0" w:line="239" w:lineRule="auto"/>
        <w:rPr>
          <w:sz w:val="20"/>
          <w:szCs w:val="20"/>
          <w:color w:val="auto"/>
        </w:rPr>
      </w:pPr>
      <w:r>
        <w:rPr>
          <w:rFonts w:ascii="Times New Roman" w:cs="Times New Roman" w:eastAsia="Times New Roman" w:hAnsi="Times New Roman"/>
          <w:sz w:val="18"/>
          <w:szCs w:val="18"/>
          <w:color w:val="auto"/>
        </w:rPr>
        <w:t>We hereby consent to the reference to our firm under the caption “Legal Matters” in the Prospectus Supplement and to the filing of this opinion letter as Exhibit 5.1 to the Company’s Current Report on Form 8-K filed on the date hereof and to the incorporation by reference of this opinion letter in the Registration Statement. In giving this consent, we do not admit that we are included in the category of persons whose consent is required under Section 7 of the Securities Act or the rules and regulations of the Commission promulgated thereunder.</w:t>
      </w:r>
    </w:p>
    <w:p>
      <w:pPr>
        <w:spacing w:after="0" w:line="28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3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 Holland &amp; Hart LLP</w:t>
      </w:r>
    </w:p>
    <w:p>
      <w:pPr>
        <w:sectPr>
          <w:pgSz w:w="11900" w:h="16838" w:orient="portrait"/>
          <w:cols w:equalWidth="0" w:num="1">
            <w:col w:w="11240"/>
          </w:cols>
          <w:pgMar w:left="320" w:top="1380" w:right="339" w:bottom="1440" w:gutter="0" w:footer="0" w:header="0"/>
        </w:sectPr>
      </w:pPr>
    </w:p>
    <w:bookmarkStart w:id="6" w:name="page7"/>
    <w:bookmarkEnd w:id="6"/>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CLASS A COMMON STOCK</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[Omitted schedules will be furnished to the SEC upon request.]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28,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Pennsylvania Plaza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4800,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Allbirds, Inc.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Chardan Capital Markets LLC (“</w:t>
      </w:r>
      <w:r>
        <w:rPr>
          <w:rFonts w:ascii="Times New Roman" w:cs="Times New Roman" w:eastAsia="Times New Roman" w:hAnsi="Times New Roman"/>
          <w:sz w:val="18"/>
          <w:szCs w:val="18"/>
          <w:b w:val="1"/>
          <w:bCs w:val="1"/>
          <w:u w:val="single" w:color="auto"/>
          <w:color w:val="auto"/>
        </w:rPr>
        <w:t>Chardan</w:t>
      </w:r>
      <w:r>
        <w:rPr>
          <w:rFonts w:ascii="Times New Roman" w:cs="Times New Roman" w:eastAsia="Times New Roman" w:hAnsi="Times New Roman"/>
          <w:sz w:val="18"/>
          <w:szCs w:val="18"/>
          <w:color w:val="auto"/>
        </w:rPr>
        <w:t>”), as follows:</w:t>
      </w:r>
    </w:p>
    <w:p>
      <w:pPr>
        <w:spacing w:after="0" w:line="113" w:lineRule="exact"/>
        <w:rPr>
          <w:sz w:val="20"/>
          <w:szCs w:val="20"/>
          <w:color w:val="auto"/>
        </w:rPr>
      </w:pPr>
    </w:p>
    <w:p>
      <w:pPr>
        <w:ind w:right="100" w:firstLine="439"/>
        <w:spacing w:after="0" w:line="248" w:lineRule="auto"/>
        <w:tabs>
          <w:tab w:leader="none" w:pos="60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Chardan, acting as exclusive agent and/or principal, shares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of the Company’s Class A Common Stock, par value $0.0001 per share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number of shares of Common Stock issued and sold under this Agreement shall be the sole responsibility of the Company, and Chardan shall have no obligation in connection with such compliance. The issuance and sale of Common Stock through Chardan will be effected pursuant to the Registration Statement (as defined below) filed by the Company and after such Registration Statement has been declared effective by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although nothing in this Agreement shall be construed as requiring the Company to use the Registration Statement to issue the Common Stock. The Company acknowledges and agrees that sales of Common Stock under this Agreement may be made through affiliates of Chardan, and that Chardan may otherwise fulfill its obligations pursuant to this Agreement to or through an affiliated broker-dealer.</w:t>
      </w:r>
    </w:p>
    <w:p>
      <w:pPr>
        <w:spacing w:after="0" w:line="193" w:lineRule="exact"/>
        <w:rPr>
          <w:sz w:val="20"/>
          <w:szCs w:val="20"/>
          <w:color w:val="auto"/>
        </w:rPr>
      </w:pPr>
    </w:p>
    <w:p>
      <w:pPr>
        <w:ind w:right="20" w:firstLine="433"/>
        <w:spacing w:after="0" w:line="247" w:lineRule="auto"/>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of 1933, as amended, and the rules and regulations thereunder (collectively,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with the Commission a registration statement on Form S-3 (Registration No: 333-288434),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The Company has prepared a prospectus specifically relating to the Placement Shares (the “</w:t>
      </w:r>
      <w:r>
        <w:rPr>
          <w:rFonts w:ascii="Times New Roman" w:cs="Times New Roman" w:eastAsia="Times New Roman" w:hAnsi="Times New Roman"/>
          <w:sz w:val="18"/>
          <w:szCs w:val="18"/>
          <w:b w:val="1"/>
          <w:bCs w:val="1"/>
          <w:u w:val="single" w:color="auto"/>
          <w:color w:val="auto"/>
        </w:rPr>
        <w:t>ATM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to the base prospectus included as part of such registration statement, and shall, if necessary, prepare a prospectus supplement specifically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Placement Shares (the “</w:t>
      </w:r>
      <w:r>
        <w:rPr>
          <w:rFonts w:ascii="Times New Roman" w:cs="Times New Roman" w:eastAsia="Times New Roman" w:hAnsi="Times New Roman"/>
          <w:sz w:val="18"/>
          <w:szCs w:val="18"/>
          <w:b w:val="1"/>
          <w:bCs w:val="1"/>
          <w:u w:val="single" w:color="auto"/>
          <w:color w:val="auto"/>
        </w:rPr>
        <w:t>Prospectus Supplement</w:t>
      </w:r>
      <w:r>
        <w:rPr>
          <w:rFonts w:ascii="Times New Roman" w:cs="Times New Roman" w:eastAsia="Times New Roman" w:hAnsi="Times New Roman"/>
          <w:sz w:val="18"/>
          <w:szCs w:val="18"/>
          <w:color w:val="auto"/>
        </w:rPr>
        <w:t>”) to the base prospectus included as part of such registration statement. The Company shall furnish to Chardan, for use by Chardan, copies of the prospectus included as part of such registration statement, as supplemented by the Prospectus Supplement, if any, relating to the Placement Shares. Except where the context otherwise requires, such registration statement,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to cover any Placement Shares,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Any registration statement and amendments thereto filed pursuant to Rule 462(b) of the Securities Act and relating to the offering covered by the Registration Statement is herein called a “</w:t>
      </w:r>
      <w:r>
        <w:rPr>
          <w:rFonts w:ascii="Times New Roman" w:cs="Times New Roman" w:eastAsia="Times New Roman" w:hAnsi="Times New Roman"/>
          <w:sz w:val="18"/>
          <w:szCs w:val="18"/>
          <w:b w:val="1"/>
          <w:bCs w:val="1"/>
          <w:u w:val="single" w:color="auto"/>
          <w:color w:val="auto"/>
        </w:rPr>
        <w:t>Rule 462(b)</w:t>
      </w:r>
    </w:p>
    <w:p>
      <w:pPr>
        <w:sectPr>
          <w:pgSz w:w="11900" w:h="16838" w:orient="portrait"/>
          <w:cols w:equalWidth="0" w:num="1">
            <w:col w:w="11240"/>
          </w:cols>
          <w:pgMar w:left="320" w:top="1440" w:right="339" w:bottom="1440" w:gutter="0" w:footer="0" w:header="0"/>
        </w:sectPr>
      </w:pPr>
    </w:p>
    <w:bookmarkStart w:id="7" w:name="page8"/>
    <w:bookmarkEnd w:id="7"/>
    <w:p>
      <w:pPr>
        <w:spacing w:after="0" w:line="16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and, after such filing, the “Registration Statement” shall include any Rule 462(b) Registration Statement. The base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all documents incorporated therein by reference, included in the Registration Statement, as it may be supplemented by the ATM Prospectus and the Prospectus Supplement, if any, in the form in which such prospectus, ATM Prospectus and/or Prospectus Supplement have most recently been filed by the Company with the Commission pursuant to Rule 424(b) under the Securities Act, together with any “issuer free writing prospectus,” as defined in Rule 433 of the Securities Act regulations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relating to the Placement Shares that (i) is consented to by Chardan, hereinafter referred to as a “</w:t>
      </w:r>
      <w:r>
        <w:rPr>
          <w:rFonts w:ascii="Times New Roman" w:cs="Times New Roman" w:eastAsia="Times New Roman" w:hAnsi="Times New Roman"/>
          <w:sz w:val="18"/>
          <w:szCs w:val="18"/>
          <w:b w:val="1"/>
          <w:bCs w:val="1"/>
          <w:u w:val="single" w:color="auto"/>
          <w:color w:val="auto"/>
        </w:rPr>
        <w:t>Permitted Free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Writing Prospectus</w:t>
      </w:r>
      <w:r>
        <w:rPr>
          <w:rFonts w:ascii="Times New Roman" w:cs="Times New Roman" w:eastAsia="Times New Roman" w:hAnsi="Times New Roman"/>
          <w:sz w:val="18"/>
          <w:szCs w:val="18"/>
          <w:color w:val="auto"/>
        </w:rPr>
        <w:t>,” (ii) is required to be filed with the Commission by the Company or (iii) is exempt from filing pursuant to Rule 433(d)(5)(i), in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right="40" w:firstLine="439"/>
        <w:spacing w:after="0" w:line="263" w:lineRule="auto"/>
        <w:tabs>
          <w:tab w:leader="none" w:pos="60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Placements</w:t>
      </w:r>
      <w:r>
        <w:rPr>
          <w:rFonts w:ascii="Times New Roman" w:cs="Times New Roman" w:eastAsia="Times New Roman" w:hAnsi="Times New Roman"/>
          <w:sz w:val="17"/>
          <w:szCs w:val="17"/>
          <w:color w:val="auto"/>
        </w:rPr>
        <w:t>. Each time that the Company wishes to issue and sell the Placement Shares hereunder (each, a “</w:t>
      </w:r>
      <w:r>
        <w:rPr>
          <w:rFonts w:ascii="Times New Roman" w:cs="Times New Roman" w:eastAsia="Times New Roman" w:hAnsi="Times New Roman"/>
          <w:sz w:val="17"/>
          <w:szCs w:val="17"/>
          <w:b w:val="1"/>
          <w:bCs w:val="1"/>
          <w:u w:val="single" w:color="auto"/>
          <w:color w:val="auto"/>
        </w:rPr>
        <w:t>Placement</w:t>
      </w:r>
      <w:r>
        <w:rPr>
          <w:rFonts w:ascii="Times New Roman" w:cs="Times New Roman" w:eastAsia="Times New Roman" w:hAnsi="Times New Roman"/>
          <w:sz w:val="17"/>
          <w:szCs w:val="17"/>
          <w:color w:val="auto"/>
        </w:rPr>
        <w:t>”), it will notify Chardan by email notice (or other method mutually agreed to in writing by the parties) (a “</w:t>
      </w:r>
      <w:r>
        <w:rPr>
          <w:rFonts w:ascii="Times New Roman" w:cs="Times New Roman" w:eastAsia="Times New Roman" w:hAnsi="Times New Roman"/>
          <w:sz w:val="17"/>
          <w:szCs w:val="17"/>
          <w:b w:val="1"/>
          <w:bCs w:val="1"/>
          <w:u w:val="single" w:color="auto"/>
          <w:color w:val="auto"/>
        </w:rPr>
        <w:t>Placement Notice</w:t>
      </w:r>
      <w:r>
        <w:rPr>
          <w:rFonts w:ascii="Times New Roman" w:cs="Times New Roman" w:eastAsia="Times New Roman" w:hAnsi="Times New Roman"/>
          <w:sz w:val="17"/>
          <w:szCs w:val="17"/>
          <w:color w:val="auto"/>
        </w:rPr>
        <w:t>,” and the date upon which the first Placement Notice is delivered, the “</w:t>
      </w:r>
      <w:r>
        <w:rPr>
          <w:rFonts w:ascii="Times New Roman" w:cs="Times New Roman" w:eastAsia="Times New Roman" w:hAnsi="Times New Roman"/>
          <w:sz w:val="17"/>
          <w:szCs w:val="17"/>
          <w:b w:val="1"/>
          <w:bCs w:val="1"/>
          <w:u w:val="single" w:color="auto"/>
          <w:color w:val="auto"/>
        </w:rPr>
        <w:t>First Delivery Date</w:t>
      </w:r>
      <w:r>
        <w:rPr>
          <w:rFonts w:ascii="Times New Roman" w:cs="Times New Roman" w:eastAsia="Times New Roman" w:hAnsi="Times New Roman"/>
          <w:sz w:val="17"/>
          <w:szCs w:val="17"/>
          <w:color w:val="auto"/>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and any minimum price below which sales may not be made, a form of which containing such minimum sales parameters necessary is attached hereto as </w:t>
      </w:r>
      <w:r>
        <w:rPr>
          <w:rFonts w:ascii="Times New Roman" w:cs="Times New Roman" w:eastAsia="Times New Roman" w:hAnsi="Times New Roman"/>
          <w:sz w:val="17"/>
          <w:szCs w:val="17"/>
          <w:b w:val="1"/>
          <w:bCs w:val="1"/>
          <w:u w:val="single" w:color="auto"/>
          <w:color w:val="auto"/>
        </w:rPr>
        <w:t>Schedule 1</w:t>
      </w:r>
      <w:r>
        <w:rPr>
          <w:rFonts w:ascii="Times New Roman" w:cs="Times New Roman" w:eastAsia="Times New Roman" w:hAnsi="Times New Roman"/>
          <w:sz w:val="17"/>
          <w:szCs w:val="17"/>
          <w:color w:val="auto"/>
        </w:rPr>
        <w:t xml:space="preserve">. The Placement Notice shall originate from any of the individuals from the Company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(with a copy to each of the other individuals from the Company listed on such schedule), and shall be addressed to each of the individuals from Chardan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as such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may be amended from time to time. The Placement Notice shall be effective upon receipt by Chardan unless and until (i) in accordance with the notice requirements set forth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Chardan declines to accept the terms contained therein for any reason, in its sole discretion, (ii) the entire amount of the Placement Shares have been sold, (iii) in accordance with the notice requirements set forth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the Company suspends or terminates the Placement Notice, (iv) the Company issues a subsequent Placement Notice with parameters superseding those on the earlier dated Placement Notice, or (v) this Agreement has been terminated under the provisions of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The amount of any discount, commission or other compensation to be paid by the Company to Chardan in connection with the sale of the Placement Shares shall be calculated in accordance with the terms set forth in </w:t>
      </w:r>
      <w:r>
        <w:rPr>
          <w:rFonts w:ascii="Times New Roman" w:cs="Times New Roman" w:eastAsia="Times New Roman" w:hAnsi="Times New Roman"/>
          <w:sz w:val="17"/>
          <w:szCs w:val="17"/>
          <w:b w:val="1"/>
          <w:bCs w:val="1"/>
          <w:u w:val="single" w:color="auto"/>
          <w:color w:val="auto"/>
        </w:rPr>
        <w:t>Schedule 3</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It is expressly acknowledged and agreed that neither the Company nor Chardan will have any obligation whatsoever with respect to a Placement or any Placement Shares unless and until the Company delivers a Placement Notice to Chardan and Chardan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76" w:lineRule="exact"/>
        <w:rPr>
          <w:rFonts w:ascii="Times New Roman" w:cs="Times New Roman" w:eastAsia="Times New Roman" w:hAnsi="Times New Roman"/>
          <w:sz w:val="17"/>
          <w:szCs w:val="17"/>
          <w:color w:val="auto"/>
        </w:rPr>
      </w:pPr>
    </w:p>
    <w:p>
      <w:pPr>
        <w:ind w:right="40" w:firstLine="439"/>
        <w:spacing w:after="0" w:line="266" w:lineRule="auto"/>
        <w:tabs>
          <w:tab w:leader="none" w:pos="60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Sale of Placement Shares by Chardan.</w:t>
      </w:r>
      <w:r>
        <w:rPr>
          <w:rFonts w:ascii="Times New Roman" w:cs="Times New Roman" w:eastAsia="Times New Roman" w:hAnsi="Times New Roman"/>
          <w:sz w:val="17"/>
          <w:szCs w:val="17"/>
          <w:color w:val="auto"/>
        </w:rPr>
        <w:t xml:space="preserve"> Subject to the terms and conditions herein set forth, upon the Company’s delivery of a Placement Notice, and unless the sale of the Placement Shares described therein has been declined, suspended, or otherwise terminated in accordance with the terms of this Agreement, Chardan,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Times New Roman" w:cs="Times New Roman" w:eastAsia="Times New Roman" w:hAnsi="Times New Roman"/>
          <w:sz w:val="17"/>
          <w:szCs w:val="17"/>
          <w:b w:val="1"/>
          <w:bCs w:val="1"/>
          <w:u w:val="single" w:color="auto"/>
          <w:color w:val="auto"/>
        </w:rPr>
        <w:t>Nasdaq</w:t>
      </w:r>
      <w:r>
        <w:rPr>
          <w:rFonts w:ascii="Times New Roman" w:cs="Times New Roman" w:eastAsia="Times New Roman" w:hAnsi="Times New Roman"/>
          <w:sz w:val="17"/>
          <w:szCs w:val="17"/>
          <w:color w:val="auto"/>
        </w:rPr>
        <w:t xml:space="preserve">”) to sell such Placement Shares up to the amount specified, and otherwise in accordance with the terms of such Placement Notice. Chardan will provide written confirmation to the Company (including by email correspondence to each of the individuals of the Company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8" w:name="page9"/>
    <w:bookmarkEnd w:id="8"/>
    <w:p>
      <w:pPr>
        <w:spacing w:after="0" w:line="16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such day, the volume-weighted average price of the Placement Shares sold, and the Net Proceeds (as defined below) payable to the Company. In the event the Company engages Chardan for a sale of Placement Shares that would constitute a “block” within the meaning of Rule 10b-18(a)(5) under the Exchange Act (a “</w:t>
      </w:r>
      <w:r>
        <w:rPr>
          <w:rFonts w:ascii="Times New Roman" w:cs="Times New Roman" w:eastAsia="Times New Roman" w:hAnsi="Times New Roman"/>
          <w:sz w:val="18"/>
          <w:szCs w:val="18"/>
          <w:b w:val="1"/>
          <w:bCs w:val="1"/>
          <w:u w:val="single" w:color="auto"/>
          <w:color w:val="auto"/>
        </w:rPr>
        <w:t>Block Sale</w:t>
      </w:r>
      <w:r>
        <w:rPr>
          <w:rFonts w:ascii="Times New Roman" w:cs="Times New Roman" w:eastAsia="Times New Roman" w:hAnsi="Times New Roman"/>
          <w:sz w:val="18"/>
          <w:szCs w:val="18"/>
          <w:color w:val="auto"/>
        </w:rPr>
        <w:t xml:space="preserve">”), the Company will provide Chardan, at Chardan’s request and upon reasonable advance notice to the Company, on or prior to the Settlement Date (as defined below), the opinions of counsel, accountant’s letter and officers’ certificates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each dated the Settlement Date, and such other documents and information as Chardan shall reasonably request. Chardan may sell Placement Shares in negotiated transactions, including block trades or Block Sales, or by any method permitted by law deemed to be an “at the market” offering as defined in Rule 415 of the Securities Act, including without limitation sales made through Nasdaq or on any other existing trading market for the Common Stock, or by any other method permitted by law. Chardan shall not purchase Placement Shares for its own account as principal unless expressly authorized to do so by the Company in a Placement Notice. The Company acknowledges and agrees that (i) there can be no assurance that Chardan will be successful in selling Placement Shares, and (ii) Chardan will incur no liability or obligation to the Company or any other person or entity if it does not sell Placement Shares for any reason other than a failure by Chardan to use its commercially reasonable efforts consistent with its normal trading and sales practices to sell such Placement Shares as required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For the purposes hereof,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the Company’s Common Stock is available for purchase or sale on the principal market on which the Common Stock is listed or quoted.</w:t>
      </w:r>
    </w:p>
    <w:p>
      <w:pPr>
        <w:spacing w:after="0" w:line="8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Notwithstanding any other provision of this Agreement, the Company shall not offer, sell or deliver, or request the offer or sale, of any Placement Shares pursuant to this Agreement and, by notice to Chardan given by telephone (confirmed promptly by email), shall cancel any instructions for the offer or sale of any Placement Shares, and Chardan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18"/>
          <w:szCs w:val="18"/>
          <w:b w:val="1"/>
          <w:bCs w:val="1"/>
          <w:u w:val="single" w:color="auto"/>
          <w:color w:val="auto"/>
        </w:rPr>
        <w:t>Earnings Announcement</w:t>
      </w:r>
      <w:r>
        <w:rPr>
          <w:rFonts w:ascii="Times New Roman" w:cs="Times New Roman" w:eastAsia="Times New Roman" w:hAnsi="Times New Roman"/>
          <w:sz w:val="18"/>
          <w:szCs w:val="18"/>
          <w:color w:val="auto"/>
        </w:rPr>
        <w:t>”) through and including the time that the Company files a Quarterly Report on Form 10-Q or an Annual Report on Form 10-K that includes consolidated financial statements as of and for the same period or periods, as the case may be, covered by such Earnings Announcement. Following the cessation of any suspension period described in clause (i) above, the Company may resume sales of Placement Shares hereunder by delivering a new Placement Notice to Chardan together with a certificate, signed by an executive officer of the Company, confirming that the Company is no longer in possession of material non-public information and that all other conditions to Chardan's obligations hereunder have been satisfied. Following the cessation of any suspension period described in clause (ii) above, the Company may resume sales of Placement Shares hereunder upon and following the filing of the applicable Quarterly Report on Form 10-Q or Annual Report on Form 10-K, as the case may be, by delivering a new Placement Notice to Chardan; provided that such Placement Notice shall not be effective until Chardan shall have received the certificate, legal opinion, and comfort letter required to be delivered on such Bring-Down Date pursuant to Sections 7(m), 7(n), and 7(o), respectively.</w:t>
      </w:r>
    </w:p>
    <w:p>
      <w:pPr>
        <w:spacing w:after="0" w:line="92" w:lineRule="exact"/>
        <w:rPr>
          <w:sz w:val="20"/>
          <w:szCs w:val="20"/>
          <w:color w:val="auto"/>
        </w:rPr>
      </w:pPr>
    </w:p>
    <w:p>
      <w:pPr>
        <w:ind w:left="620" w:hanging="181"/>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right="20" w:firstLine="439"/>
        <w:spacing w:after="0" w:line="269" w:lineRule="auto"/>
        <w:tabs>
          <w:tab w:leader="none" w:pos="67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or Chardan may, upon notice to the other party in writing (including by email correspondence to each of the individuals of the other party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suspend any sale of Placement Shares;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such suspension shall not affect or impair either party’s obligations with respect to any Placement Shares sold hereunder prior to the receipt of such notice. Each of the parties agrees that no such notice under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shall be effective against the other unless it is made to one of the individuals named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hereto, as such schedule may be amended from time to time.</w:t>
      </w:r>
    </w:p>
    <w:p>
      <w:pPr>
        <w:spacing w:after="0" w:line="63" w:lineRule="exact"/>
        <w:rPr>
          <w:rFonts w:ascii="Times New Roman" w:cs="Times New Roman" w:eastAsia="Times New Roman" w:hAnsi="Times New Roman"/>
          <w:sz w:val="17"/>
          <w:szCs w:val="17"/>
          <w:color w:val="auto"/>
        </w:rPr>
      </w:pPr>
    </w:p>
    <w:p>
      <w:pPr>
        <w:ind w:right="320" w:firstLine="439"/>
        <w:spacing w:after="0" w:line="259" w:lineRule="auto"/>
        <w:tabs>
          <w:tab w:leader="none" w:pos="6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Chardan or the Company has reason to believe that the exemptive provisions set forth in Rule 101(c)(1) of Regulation M under the Exchange Act are not satisfied with respect to the Common Stock, it shall promptly notify the other party, and Chardan may, at its sole discretion, suspend sales of the Placement Shares under this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9" w:name="page10"/>
    <w:bookmarkEnd w:id="9"/>
    <w:p>
      <w:pPr>
        <w:spacing w:after="0" w:line="60" w:lineRule="exact"/>
        <w:rPr>
          <w:sz w:val="20"/>
          <w:szCs w:val="20"/>
          <w:color w:val="auto"/>
        </w:rPr>
      </w:pPr>
    </w:p>
    <w:p>
      <w:pPr>
        <w:ind w:left="-20" w:right="320" w:firstLine="439"/>
        <w:spacing w:after="0" w:line="306" w:lineRule="auto"/>
        <w:tabs>
          <w:tab w:leader="none" w:pos="65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use its best efforts to cause the Registration Statement to remain effective. Notwithstanding any other provision of this Agreement, during any period in which the Registration Statement is no longer effective under the Securities Act, the Company shall promptly notify Chardan, the Company shall not request the sale of any Placement Shares, and Chardan shall not be obligated to sell or offer to sell any Placement Shares.</w:t>
      </w:r>
    </w:p>
    <w:p>
      <w:pPr>
        <w:spacing w:after="0" w:line="34" w:lineRule="exact"/>
        <w:rPr>
          <w:sz w:val="20"/>
          <w:szCs w:val="20"/>
          <w:color w:val="auto"/>
        </w:rPr>
      </w:pPr>
    </w:p>
    <w:p>
      <w:pPr>
        <w:ind w:left="600" w:hanging="181"/>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p>
    <w:p>
      <w:pPr>
        <w:spacing w:after="0" w:line="111" w:lineRule="exact"/>
        <w:rPr>
          <w:sz w:val="20"/>
          <w:szCs w:val="20"/>
          <w:color w:val="auto"/>
        </w:rPr>
      </w:pPr>
    </w:p>
    <w:p>
      <w:pPr>
        <w:ind w:left="-20" w:right="20" w:firstLine="439"/>
        <w:spacing w:after="0" w:line="251" w:lineRule="auto"/>
        <w:tabs>
          <w:tab w:leader="none" w:pos="6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Unless otherwise specified in the applicable Placement Notice, settlement for sales of Placement Shares will occur on the first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8"/>
          <w:szCs w:val="18"/>
          <w:color w:val="auto"/>
        </w:rPr>
        <w:t>) Trading Day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Chardan at which such Placement Shares were sold, after deduction for (i) Chardan’s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(ii) any other amounts due and payable by the Company to Chardan hereunder pursuant to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(Expenses) hereof, and (iii) any transaction fees imposed by any governmental or self-regulatory organization in respect of such sales.</w:t>
      </w:r>
    </w:p>
    <w:p>
      <w:pPr>
        <w:spacing w:after="0" w:line="79" w:lineRule="exact"/>
        <w:rPr>
          <w:rFonts w:ascii="Times New Roman" w:cs="Times New Roman" w:eastAsia="Times New Roman" w:hAnsi="Times New Roman"/>
          <w:sz w:val="18"/>
          <w:szCs w:val="18"/>
          <w:color w:val="auto"/>
        </w:rPr>
      </w:pPr>
    </w:p>
    <w:p>
      <w:pPr>
        <w:ind w:left="-20" w:firstLine="439"/>
        <w:spacing w:after="0" w:line="265" w:lineRule="auto"/>
        <w:tabs>
          <w:tab w:leader="none" w:pos="66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Placement Shares</w:t>
      </w:r>
      <w:r>
        <w:rPr>
          <w:rFonts w:ascii="Times New Roman" w:cs="Times New Roman" w:eastAsia="Times New Roman" w:hAnsi="Times New Roman"/>
          <w:sz w:val="17"/>
          <w:szCs w:val="17"/>
          <w:color w:val="auto"/>
        </w:rPr>
        <w:t xml:space="preserve">. On or before each Settlement Date, the Company will, or will cause its transfer agent to, electronically transfer the Placement Shares being sold by crediting Chardan’s or its designee’s account (provided Chardan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Chardan will deliver the related Net Proceeds in same day funds to an account designated by the Company on, or prior to, the Settlement Date. The Company agrees that if the Company, or its transfer agent (if applicable), defaults in its obligation to deliver duly authorized Placement Shares on a Settlement Date through no fault of Chardan, the Company agrees that in addition to and in no way limiting the rights and obligations set forth in </w:t>
      </w:r>
      <w:r>
        <w:rPr>
          <w:rFonts w:ascii="Times New Roman" w:cs="Times New Roman" w:eastAsia="Times New Roman" w:hAnsi="Times New Roman"/>
          <w:sz w:val="17"/>
          <w:szCs w:val="17"/>
          <w:u w:val="single" w:color="auto"/>
          <w:color w:val="auto"/>
        </w:rPr>
        <w:t>Section 9(a)</w:t>
      </w:r>
      <w:r>
        <w:rPr>
          <w:rFonts w:ascii="Times New Roman" w:cs="Times New Roman" w:eastAsia="Times New Roman" w:hAnsi="Times New Roman"/>
          <w:sz w:val="17"/>
          <w:szCs w:val="17"/>
          <w:color w:val="auto"/>
        </w:rPr>
        <w:t xml:space="preserve"> (Indemnification and Contribution) hereto, it will (i) hold Chardan harmless against any loss, claim, damage, or reasonable and documented expense (including reasonable and documented legal fees and expenses), as incurred, arising out of or in connection with such default by the Company and (ii) pay to Chardan (without duplication) any commission, discount, or other compensation to which it would otherwise have been entitled absent such default.</w:t>
      </w:r>
    </w:p>
    <w:p>
      <w:pPr>
        <w:spacing w:after="0" w:line="67" w:lineRule="exact"/>
        <w:rPr>
          <w:rFonts w:ascii="Times New Roman" w:cs="Times New Roman" w:eastAsia="Times New Roman" w:hAnsi="Times New Roman"/>
          <w:sz w:val="17"/>
          <w:szCs w:val="17"/>
          <w:color w:val="auto"/>
        </w:rPr>
      </w:pPr>
    </w:p>
    <w:p>
      <w:pPr>
        <w:ind w:left="-20" w:firstLine="439"/>
        <w:spacing w:after="0" w:line="248" w:lineRule="auto"/>
        <w:tabs>
          <w:tab w:leader="none" w:pos="6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color w:val="auto"/>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of Common Stock registered pursuant to, and available for offer and sale under, the Registration Statement pursuant to which the offering of shares of Common Stock is being made, (ii) the number or dollar amount of shares of Common Stock permitted to be offered and sold by the Company under Form S-3 (including General Instruction I.B.6. thereof, if such instruction is applicable), (iii) the number or dollar amount of shares of Common Stock that the Company's board of directors or a duly authorized committee thereof has authorized the Company to issue and sell from time to time, and notified to Chardan in writing, or (iv) the dollar amount of shares of Common Stock for which the Company has filed the Prospectus Supplement (such amount, the “</w:t>
      </w:r>
      <w:r>
        <w:rPr>
          <w:rFonts w:ascii="Times New Roman" w:cs="Times New Roman" w:eastAsia="Times New Roman" w:hAnsi="Times New Roman"/>
          <w:sz w:val="18"/>
          <w:szCs w:val="18"/>
          <w:b w:val="1"/>
          <w:bCs w:val="1"/>
          <w:u w:val="single" w:color="auto"/>
          <w:color w:val="auto"/>
        </w:rPr>
        <w:t>Maximum Amount</w:t>
      </w:r>
      <w:r>
        <w:rPr>
          <w:rFonts w:ascii="Times New Roman" w:cs="Times New Roman" w:eastAsia="Times New Roman" w:hAnsi="Times New Roman"/>
          <w:sz w:val="18"/>
          <w:szCs w:val="18"/>
          <w:color w:val="auto"/>
        </w:rPr>
        <w: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Chardan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Chardan shall have no obligation in connection with such compliance.</w:t>
      </w:r>
    </w:p>
    <w:p>
      <w:pPr>
        <w:spacing w:after="0" w:line="82" w:lineRule="exact"/>
        <w:rPr>
          <w:sz w:val="20"/>
          <w:szCs w:val="20"/>
          <w:color w:val="auto"/>
        </w:rPr>
      </w:pPr>
    </w:p>
    <w:p>
      <w:pPr>
        <w:ind w:left="-20" w:right="200" w:firstLine="439"/>
        <w:spacing w:after="0" w:line="259" w:lineRule="auto"/>
        <w:tabs>
          <w:tab w:leader="none" w:pos="5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disclosed in the Registration Statement or Prospectus, the Company represents and warrants to, and agrees with, Chardan that as of (i) the date of this Agreement, (ii) each Time of Sale (as defined below), (iii) each Settlement Date, and (iv) each Bring-Down Date (as defined below) (each date included in (i) through (iv),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20" w:firstLine="439"/>
        <w:spacing w:after="0" w:line="274" w:lineRule="auto"/>
        <w:tabs>
          <w:tab w:leader="none" w:pos="6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On each Time of Sale, Settlement Date and Bring-Down Date, the Registration Statement and any Rule 462(b) Registration Statement have been declared effective by the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40" w:top="1440" w:right="359" w:bottom="1440" w:gutter="0" w:footer="0" w:header="0"/>
        </w:sectPr>
      </w:pPr>
    </w:p>
    <w:bookmarkStart w:id="10" w:name="page11"/>
    <w:bookmarkEnd w:id="10"/>
    <w:p>
      <w:pPr>
        <w:spacing w:after="0" w:line="6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Commission under the Securities Act and shall have remained effective as of such date.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contemplated or threatened by the Commission. The Company meets the requirements for use of Form S-3 under the Securities Act. As of the date hereof, the Company is not subject to General Instruction I.B.6 of Form S-3 and is eligible to sell the Placement Shares hereunder pursuant to General Instruction I.B.1 of</w:t>
      </w:r>
    </w:p>
    <w:p>
      <w:pPr>
        <w:spacing w:after="0"/>
        <w:rPr>
          <w:sz w:val="20"/>
          <w:szCs w:val="20"/>
          <w:color w:val="auto"/>
        </w:rPr>
      </w:pPr>
      <w:r>
        <w:rPr>
          <w:rFonts w:ascii="Times New Roman" w:cs="Times New Roman" w:eastAsia="Times New Roman" w:hAnsi="Times New Roman"/>
          <w:sz w:val="18"/>
          <w:szCs w:val="18"/>
          <w:color w:val="auto"/>
        </w:rPr>
        <w:t>Form S-3.</w:t>
      </w:r>
    </w:p>
    <w:p>
      <w:pPr>
        <w:spacing w:after="0" w:line="111" w:lineRule="exact"/>
        <w:rPr>
          <w:sz w:val="20"/>
          <w:szCs w:val="20"/>
          <w:color w:val="auto"/>
        </w:rPr>
      </w:pPr>
    </w:p>
    <w:p>
      <w:pPr>
        <w:ind w:right="40" w:firstLine="439"/>
        <w:spacing w:after="0" w:line="248" w:lineRule="auto"/>
        <w:tabs>
          <w:tab w:leader="none" w:pos="6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becomes effective or its date, as applicable, complied or will comply, and as of each Representation Date, complied and will comply in all material respects with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Chardan’s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cs="Times New Roman" w:eastAsia="Times New Roman" w:hAnsi="Times New Roman"/>
          <w:sz w:val="18"/>
          <w:szCs w:val="18"/>
          <w:b w:val="1"/>
          <w:bCs w:val="1"/>
          <w:u w:val="single" w:color="auto"/>
          <w:color w:val="auto"/>
        </w:rPr>
        <w:t>Time of Sale</w:t>
      </w:r>
      <w:r>
        <w:rPr>
          <w:rFonts w:ascii="Times New Roman" w:cs="Times New Roman" w:eastAsia="Times New Roman" w:hAnsi="Times New Roman"/>
          <w:sz w:val="18"/>
          <w:szCs w:val="18"/>
          <w:color w:val="auto"/>
        </w:rPr>
        <w:t>” means with respect to each offering of Placement Shares pursuant to this Agreement, the time of Chardan’s initial entry into contracts with purchasers for the sale of such Placement Shares.</w:t>
      </w:r>
    </w:p>
    <w:p>
      <w:pPr>
        <w:spacing w:after="0" w:line="81" w:lineRule="exact"/>
        <w:rPr>
          <w:rFonts w:ascii="Times New Roman" w:cs="Times New Roman" w:eastAsia="Times New Roman" w:hAnsi="Times New Roman"/>
          <w:sz w:val="18"/>
          <w:szCs w:val="18"/>
          <w:color w:val="auto"/>
        </w:rPr>
      </w:pPr>
    </w:p>
    <w:p>
      <w:pPr>
        <w:ind w:right="260" w:firstLine="439"/>
        <w:spacing w:after="0" w:line="251" w:lineRule="auto"/>
        <w:tabs>
          <w:tab w:leader="none" w:pos="6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Materials Furnished to Chardan</w:t>
      </w:r>
      <w:r>
        <w:rPr>
          <w:rFonts w:ascii="Times New Roman" w:cs="Times New Roman" w:eastAsia="Times New Roman" w:hAnsi="Times New Roman"/>
          <w:sz w:val="18"/>
          <w:szCs w:val="18"/>
          <w:color w:val="auto"/>
        </w:rPr>
        <w:t>. The Company has delivered to Chardan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Chardan has reasonably requested. The Registration Statement, the Prospectus and any Permitted Free Writing Prospectus (to the extent any such Permitted Free Writing Prospectus was required to be filed with the Commission) delivered to Chardan for use in connection with the public offering of the Placement Shares contemplated herein have been and will be identical to the versions of such documents transmitted to the Commission for filing via EDGAR, except to the extent permitted by Regulation S-T.</w:t>
      </w:r>
    </w:p>
    <w:p>
      <w:pPr>
        <w:spacing w:after="0" w:line="79" w:lineRule="exact"/>
        <w:rPr>
          <w:rFonts w:ascii="Times New Roman" w:cs="Times New Roman" w:eastAsia="Times New Roman" w:hAnsi="Times New Roman"/>
          <w:sz w:val="18"/>
          <w:szCs w:val="18"/>
          <w:color w:val="auto"/>
        </w:rPr>
      </w:pPr>
    </w:p>
    <w:p>
      <w:pPr>
        <w:ind w:firstLine="439"/>
        <w:spacing w:after="0" w:line="274" w:lineRule="auto"/>
        <w:tabs>
          <w:tab w:leader="none" w:pos="6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The Company is an “emerging growth company,” as defined in Section 2(a) of the Securities Act. The Company agrees to notify Chardan promptly upon the Company ceasing to be an emerging growth company.</w:t>
      </w:r>
    </w:p>
    <w:p>
      <w:pPr>
        <w:spacing w:after="0" w:line="57" w:lineRule="exact"/>
        <w:rPr>
          <w:rFonts w:ascii="Times New Roman" w:cs="Times New Roman" w:eastAsia="Times New Roman" w:hAnsi="Times New Roman"/>
          <w:sz w:val="18"/>
          <w:szCs w:val="18"/>
          <w:color w:val="auto"/>
        </w:rPr>
      </w:pPr>
    </w:p>
    <w:p>
      <w:pPr>
        <w:ind w:right="140" w:firstLine="439"/>
        <w:spacing w:after="0" w:line="274" w:lineRule="auto"/>
        <w:tabs>
          <w:tab w:leader="none" w:pos="6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an Ineligible Issuer</w:t>
      </w:r>
      <w:r>
        <w:rPr>
          <w:rFonts w:ascii="Times New Roman" w:cs="Times New Roman" w:eastAsia="Times New Roman" w:hAnsi="Times New Roman"/>
          <w:sz w:val="18"/>
          <w:szCs w:val="18"/>
          <w:color w:val="auto"/>
        </w:rPr>
        <w:t>. The Company currently is not an “ineligible issuer,” as defined in Rule 405 under the Securities Act. The Company agrees to notify Chardan promptly upon the Company becoming an “ineligible issuer.”</w:t>
      </w:r>
    </w:p>
    <w:p>
      <w:pPr>
        <w:spacing w:after="0" w:line="57" w:lineRule="exact"/>
        <w:rPr>
          <w:rFonts w:ascii="Times New Roman" w:cs="Times New Roman" w:eastAsia="Times New Roman" w:hAnsi="Times New Roman"/>
          <w:sz w:val="18"/>
          <w:szCs w:val="18"/>
          <w:color w:val="auto"/>
        </w:rPr>
      </w:pPr>
    </w:p>
    <w:p>
      <w:pPr>
        <w:ind w:right="220" w:firstLine="439"/>
        <w:spacing w:after="0" w:line="282" w:lineRule="auto"/>
        <w:tabs>
          <w:tab w:leader="none" w:pos="6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Offering Material By the Company</w:t>
      </w:r>
      <w:r>
        <w:rPr>
          <w:rFonts w:ascii="Times New Roman" w:cs="Times New Roman" w:eastAsia="Times New Roman" w:hAnsi="Times New Roman"/>
          <w:sz w:val="18"/>
          <w:szCs w:val="18"/>
          <w:color w:val="auto"/>
        </w:rPr>
        <w:t>. The Company has not distributed and will not distribute, prior to the completion of Chardan’s distribution of the Placement Shares, any offering material in connection with the offering and sale of the Placement Shares other than the Prospectus or the Registration Statement.</w:t>
      </w:r>
    </w:p>
    <w:p>
      <w:pPr>
        <w:spacing w:after="0" w:line="52" w:lineRule="exact"/>
        <w:rPr>
          <w:rFonts w:ascii="Times New Roman" w:cs="Times New Roman" w:eastAsia="Times New Roman" w:hAnsi="Times New Roman"/>
          <w:sz w:val="18"/>
          <w:szCs w:val="18"/>
          <w:color w:val="auto"/>
        </w:rPr>
      </w:pPr>
    </w:p>
    <w:p>
      <w:pPr>
        <w:ind w:right="20" w:firstLine="439"/>
        <w:spacing w:after="0" w:line="255" w:lineRule="auto"/>
        <w:tabs>
          <w:tab w:leader="none" w:pos="6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Sales Agreement</w:t>
      </w:r>
      <w:r>
        <w:rPr>
          <w:rFonts w:ascii="Times New Roman" w:cs="Times New Roman" w:eastAsia="Times New Roman" w:hAnsi="Times New Roman"/>
          <w:sz w:val="18"/>
          <w:szCs w:val="18"/>
          <w:color w:val="auto"/>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74" w:lineRule="exact"/>
        <w:rPr>
          <w:rFonts w:ascii="Times New Roman" w:cs="Times New Roman" w:eastAsia="Times New Roman" w:hAnsi="Times New Roman"/>
          <w:sz w:val="18"/>
          <w:szCs w:val="18"/>
          <w:color w:val="auto"/>
        </w:rPr>
      </w:pPr>
    </w:p>
    <w:p>
      <w:pPr>
        <w:ind w:right="80" w:firstLine="439"/>
        <w:spacing w:after="0" w:line="259" w:lineRule="auto"/>
        <w:tabs>
          <w:tab w:leader="none" w:pos="6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Common Stock</w:t>
      </w:r>
      <w:r>
        <w:rPr>
          <w:rFonts w:ascii="Times New Roman" w:cs="Times New Roman" w:eastAsia="Times New Roman" w:hAnsi="Times New Roman"/>
          <w:sz w:val="18"/>
          <w:szCs w:val="18"/>
          <w:color w:val="auto"/>
        </w:rPr>
        <w:t>. 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440" w:right="359" w:bottom="1440" w:gutter="0" w:footer="0" w:header="0"/>
        </w:sectPr>
      </w:pPr>
    </w:p>
    <w:bookmarkStart w:id="11" w:name="page12"/>
    <w:bookmarkEnd w:id="11"/>
    <w:p>
      <w:pPr>
        <w:spacing w:after="0" w:line="6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free and clear of any pledge, lien, encumbrance, security interest or other claim, and the issuance and sale of the Placement Shares by the Company is not subject to preemptive or other similar rights arising by operation of law, under the organizational documents of the Company or under any agreement to which the Company or any of its subsidiaries is a party or otherwise.</w:t>
      </w:r>
    </w:p>
    <w:p>
      <w:pPr>
        <w:spacing w:after="0" w:line="72" w:lineRule="exact"/>
        <w:rPr>
          <w:sz w:val="20"/>
          <w:szCs w:val="20"/>
          <w:color w:val="auto"/>
        </w:rPr>
      </w:pPr>
    </w:p>
    <w:p>
      <w:pPr>
        <w:ind w:left="640" w:hanging="20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Applicable Registration or Other Similar Rights</w:t>
      </w:r>
      <w:r>
        <w:rPr>
          <w:rFonts w:ascii="Times New Roman" w:cs="Times New Roman" w:eastAsia="Times New Roman" w:hAnsi="Times New Roman"/>
          <w:sz w:val="18"/>
          <w:szCs w:val="18"/>
          <w:color w:val="auto"/>
        </w:rPr>
        <w:t>. There are no persons with registration or other similar rights to have any equity or debt</w:t>
      </w:r>
    </w:p>
    <w:p>
      <w:pPr>
        <w:spacing w:after="0" w:line="24" w:lineRule="exact"/>
        <w:rPr>
          <w:rFonts w:ascii="Times New Roman" w:cs="Times New Roman" w:eastAsia="Times New Roman" w:hAnsi="Times New Roman"/>
          <w:sz w:val="18"/>
          <w:szCs w:val="18"/>
          <w:color w:val="auto"/>
        </w:rPr>
      </w:pPr>
    </w:p>
    <w:p>
      <w:pPr>
        <w:ind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registered for sale under the Registration Statement or included in the offering contemplated by this Agreement, except for such rights as have been duly waived.</w:t>
      </w:r>
    </w:p>
    <w:p>
      <w:pPr>
        <w:spacing w:after="0" w:line="77" w:lineRule="exact"/>
        <w:rPr>
          <w:rFonts w:ascii="Times New Roman" w:cs="Times New Roman" w:eastAsia="Times New Roman" w:hAnsi="Times New Roman"/>
          <w:sz w:val="18"/>
          <w:szCs w:val="18"/>
          <w:color w:val="auto"/>
        </w:rPr>
      </w:pPr>
    </w:p>
    <w:p>
      <w:pPr>
        <w:ind w:firstLine="439"/>
        <w:spacing w:after="0" w:line="248" w:lineRule="auto"/>
        <w:tabs>
          <w:tab w:leader="none" w:pos="6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Except as otherwise disclosed in the Prospectus, subsequent to the respective dates as of which information is given in the Prospectus: (i) there has been no material adverse change, or any development that would reasonably be expected to result in a material adverse change, or any development involving a prospective material adverse change, in the condition, financial or otherwise, or in the earnings, business, or operations, whether or not arising from transactions in the ordinary course of business, of the Company and its subsidiaries, considered as one entity (any such change is called a “</w:t>
      </w:r>
      <w:r>
        <w:rPr>
          <w:rFonts w:ascii="Times New Roman" w:cs="Times New Roman" w:eastAsia="Times New Roman" w:hAnsi="Times New Roman"/>
          <w:sz w:val="18"/>
          <w:szCs w:val="18"/>
          <w:b w:val="1"/>
          <w:bCs w:val="1"/>
          <w:u w:val="single" w:color="auto"/>
          <w:color w:val="auto"/>
        </w:rPr>
        <w:t>Material Adverse Change</w:t>
      </w:r>
      <w:r>
        <w:rPr>
          <w:rFonts w:ascii="Times New Roman" w:cs="Times New Roman" w:eastAsia="Times New Roman" w:hAnsi="Times New Roman"/>
          <w:sz w:val="18"/>
          <w:szCs w:val="18"/>
          <w:color w:val="auto"/>
        </w:rPr>
        <w:t>”); (ii) other than as disclosed in the Current Report on Form 8-K announcing this Agreement,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regular quarterly dividends publicly announced by the Company or dividends paid to the Company or other subsidiaries, by any of its subsidiaries on any class of capital stock or repurchase or redemption by the Company or any of its subsidiaries of any class of capital stock.</w:t>
      </w:r>
    </w:p>
    <w:p>
      <w:pPr>
        <w:spacing w:after="0" w:line="87" w:lineRule="exact"/>
        <w:rPr>
          <w:rFonts w:ascii="Times New Roman" w:cs="Times New Roman" w:eastAsia="Times New Roman" w:hAnsi="Times New Roman"/>
          <w:sz w:val="18"/>
          <w:szCs w:val="18"/>
          <w:color w:val="auto"/>
        </w:rPr>
      </w:pPr>
    </w:p>
    <w:p>
      <w:pPr>
        <w:ind w:right="40" w:firstLine="439"/>
        <w:spacing w:after="0" w:line="252" w:lineRule="auto"/>
        <w:tabs>
          <w:tab w:leader="none" w:pos="6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Deloitte &amp; Touche LLP,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and the Prospectus, is an independent registered public accounting firm with respect to the Company within the meaning of the Securities Act and the applicable rules and regulations thereunder adopted by the Commission and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w:t>
      </w:r>
    </w:p>
    <w:p>
      <w:pPr>
        <w:spacing w:after="0" w:line="145" w:lineRule="exact"/>
        <w:rPr>
          <w:rFonts w:ascii="Times New Roman" w:cs="Times New Roman" w:eastAsia="Times New Roman" w:hAnsi="Times New Roman"/>
          <w:sz w:val="18"/>
          <w:szCs w:val="18"/>
          <w:color w:val="auto"/>
        </w:rPr>
      </w:pPr>
    </w:p>
    <w:p>
      <w:pPr>
        <w:ind w:firstLine="439"/>
        <w:spacing w:after="0" w:line="247" w:lineRule="auto"/>
        <w:tabs>
          <w:tab w:leader="none" w:pos="6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 of the Financial Statements</w:t>
      </w:r>
      <w:r>
        <w:rPr>
          <w:rFonts w:ascii="Times New Roman" w:cs="Times New Roman" w:eastAsia="Times New Roman" w:hAnsi="Times New Roman"/>
          <w:sz w:val="18"/>
          <w:szCs w:val="18"/>
          <w:color w:val="auto"/>
        </w:rPr>
        <w:t>. The financial statements included in each of the Registration Statement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applied on a consistent basis throughout the periods covered thereby except for any normal year-end adjustments in the Company’s quarterly financial statements. The other financial information included in each of the Registration Statement and the Prospectus has been derived from the accounting records of the Company and its consolidated subsidiaries and presents fairly in all material respects the information shown thereby. The unaudited pro forma financial information of the Company and its subsidiaries and the related notes thereto, if applicable, included in each of the Registration Statement and the Prospectus fairly presents the information contained therein, have been prepared in accordance with the Commission’s rules and guidelines with respect to pro forma financial statements and have been properly presented on the bases described therein, and the assumptions used in the preparation thereof are reasonable and the adjustments used therein are appropriate to give effect to the transactions and circumstances referred to therein. All disclosures contained in the Registration Statement and the Prospectus regarding “non-GAAP financial measures” (as such term is defined by the rules and regulations of the Commission) comply with Regulation G of the Exchange Act and Item 10 of Regulation S-K of the Act, to the extent applicable. The statistical, industry-related and market-related data included in each of the Registration Statement and the Prospectus are based on or derived from sources which the Company reasonably and in good faith believes are reliable and accurate and such data is consistent with the sources from which they are derived, in each case in all material respects.</w:t>
      </w:r>
    </w:p>
    <w:p>
      <w:pPr>
        <w:spacing w:after="0" w:line="89" w:lineRule="exact"/>
        <w:rPr>
          <w:rFonts w:ascii="Times New Roman" w:cs="Times New Roman" w:eastAsia="Times New Roman" w:hAnsi="Times New Roman"/>
          <w:sz w:val="18"/>
          <w:szCs w:val="18"/>
          <w:color w:val="auto"/>
        </w:rPr>
      </w:pPr>
    </w:p>
    <w:p>
      <w:pPr>
        <w:jc w:val="both"/>
        <w:ind w:right="20" w:firstLine="439"/>
        <w:spacing w:after="0" w:line="304" w:lineRule="auto"/>
        <w:tabs>
          <w:tab w:leader="none" w:pos="73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XBRL</w:t>
      </w:r>
      <w:r>
        <w:rPr>
          <w:rFonts w:ascii="Times New Roman" w:cs="Times New Roman" w:eastAsia="Times New Roman" w:hAnsi="Times New Roman"/>
          <w:sz w:val="17"/>
          <w:szCs w:val="17"/>
          <w:color w:val="auto"/>
        </w:rPr>
        <w:t>. The interactive data in eXtensible Business Reporting Language included or incorporated by reference in each Registration Statement fairly presents the information called for in all material respects and has been prepared in accordance with the Commission’s rules and guidelines applicable thereto.</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12" w:name="page13"/>
    <w:bookmarkEnd w:id="12"/>
    <w:p>
      <w:pPr>
        <w:spacing w:after="0" w:line="60" w:lineRule="exact"/>
        <w:rPr>
          <w:sz w:val="20"/>
          <w:szCs w:val="20"/>
          <w:color w:val="auto"/>
        </w:rPr>
      </w:pPr>
    </w:p>
    <w:p>
      <w:pPr>
        <w:ind w:left="-20" w:firstLine="439"/>
        <w:spacing w:after="0" w:line="251" w:lineRule="auto"/>
        <w:tabs>
          <w:tab w:leader="none" w:pos="6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Good Standing of the Company and its Subsidiaries</w:t>
      </w:r>
      <w:r>
        <w:rPr>
          <w:rFonts w:ascii="Times New Roman" w:cs="Times New Roman" w:eastAsia="Times New Roman" w:hAnsi="Times New Roman"/>
          <w:sz w:val="18"/>
          <w:szCs w:val="18"/>
          <w:color w:val="auto"/>
        </w:rPr>
        <w:t>. The Company has been duly incorporated, is validly existing as a corporation in good standing under the laws of the State of Delaware, has the corporate power and authority to own or lease its property and to conduct its business as described in each of the Registration Statement and the Prospectus and is duly qualified to transact business and is in good standing (to the extent the concept of good standing is applicable in such jurisdiction) in each jurisdiction in which the conduct of its business or its ownership or leasing of property requires such qualification, except to the extent that the failure to be so qualified or be in good standing (to the extent that such concepts are applicable in such jurisdiction) would not reasonably be expected to, singly or in the aggregate, result in a Material Adverse Change. Each subsidiary of the Company has been duly incorporated, organized or formed, is validly existing as a corporation or other business entity in good standing (to the extent that such concepts are applicable in such jurisdiction) under the laws of the jurisdiction of its incorporation, organization or formation, has the corporate or other business entity power and authority to own or lease its property and to conduct its business as described in each of the Registration Statement and the Prospectus and is duly qualified to transact business and is in good standing (to the extent that such concepts are applicable in such jurisdiction) in each jurisdiction in which the conduct of its business or its ownership or leasing of property requires such qualification, except to the extent that the failure to be so qualified or be in good standing (to the extent that such concepts are applicable in such jurisdiction) would not reasonably be expected to, singly or in the aggregate, result in a Material Adverse Change; all of the issued shares of capital stock or other equity interests of each subsidiary of the Company have been duly and validly authorized and issued, are fully paid and non-assessable and are owned directly or indirectly by the Company or a wholly-owned subsidiary of the Company, free and clear of all liens, encumbrances, equities or claims.</w:t>
      </w:r>
    </w:p>
    <w:p>
      <w:pPr>
        <w:spacing w:after="0" w:line="78" w:lineRule="exact"/>
        <w:rPr>
          <w:rFonts w:ascii="Times New Roman" w:cs="Times New Roman" w:eastAsia="Times New Roman" w:hAnsi="Times New Roman"/>
          <w:sz w:val="18"/>
          <w:szCs w:val="18"/>
          <w:color w:val="auto"/>
        </w:rPr>
      </w:pPr>
    </w:p>
    <w:p>
      <w:pPr>
        <w:ind w:left="-20" w:right="120" w:firstLine="439"/>
        <w:spacing w:after="0" w:line="250" w:lineRule="auto"/>
        <w:tabs>
          <w:tab w:leader="none" w:pos="6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Matters</w:t>
      </w:r>
      <w:r>
        <w:rPr>
          <w:rFonts w:ascii="Times New Roman" w:cs="Times New Roman" w:eastAsia="Times New Roman" w:hAnsi="Times New Roman"/>
          <w:sz w:val="18"/>
          <w:szCs w:val="18"/>
          <w:color w:val="auto"/>
        </w:rPr>
        <w:t>. The Common Stock conforms in all material respects to the description thereof contained in the Prospectus. None of the outstanding shares were issued in violation of any preemptive rights, rights of first refusal or other similar rights to subscribe for or purchase securities of the Company or any of its subsidiaries other than those accurately described in all material respects in the Prospectus. Other than as described in the Prospectus, there are no authorized or outstanding options, warrants, preemptive rights, rights of first refusal or other rights to purchase, or equity or debt securities convertible into or exchangeable or exercisable for, any capital stock of the Company or any of its subsidiaries.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w:t>
      </w:r>
    </w:p>
    <w:p>
      <w:pPr>
        <w:spacing w:after="0" w:line="80" w:lineRule="exact"/>
        <w:rPr>
          <w:rFonts w:ascii="Times New Roman" w:cs="Times New Roman" w:eastAsia="Times New Roman" w:hAnsi="Times New Roman"/>
          <w:sz w:val="18"/>
          <w:szCs w:val="18"/>
          <w:color w:val="auto"/>
        </w:rPr>
      </w:pPr>
    </w:p>
    <w:p>
      <w:pPr>
        <w:ind w:left="-20" w:right="60" w:firstLine="439"/>
        <w:spacing w:after="0" w:line="249" w:lineRule="auto"/>
        <w:tabs>
          <w:tab w:leader="none" w:pos="6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 No Further Authorizations or Approvals Required</w:t>
      </w:r>
      <w:r>
        <w:rPr>
          <w:rFonts w:ascii="Times New Roman" w:cs="Times New Roman" w:eastAsia="Times New Roman" w:hAnsi="Times New Roman"/>
          <w:sz w:val="18"/>
          <w:szCs w:val="18"/>
          <w:color w:val="auto"/>
        </w:rPr>
        <w:t>. 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 of clauses (i), (iii), and (iv) as would not, individually or in the aggregate, reasonably be expected to result in a Material Adverse Change; and no consent, approval, authorization or order of, or qualification with, any governmental body, agency or court is required for the performance by the Company of its obligations under this Agreement, except such as have been obtained or validly waived or as may be required by the securities or Blue Sky laws of the various states or foreign jurisdictions or the rules and regulations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in connection with the offer and sale of the Shares.</w:t>
      </w:r>
    </w:p>
    <w:p>
      <w:pPr>
        <w:spacing w:after="0" w:line="81" w:lineRule="exact"/>
        <w:rPr>
          <w:rFonts w:ascii="Times New Roman" w:cs="Times New Roman" w:eastAsia="Times New Roman" w:hAnsi="Times New Roman"/>
          <w:sz w:val="18"/>
          <w:szCs w:val="18"/>
          <w:color w:val="auto"/>
        </w:rPr>
      </w:pPr>
    </w:p>
    <w:p>
      <w:pPr>
        <w:ind w:left="-20" w:right="60" w:firstLine="439"/>
        <w:spacing w:after="0" w:line="250" w:lineRule="auto"/>
        <w:tabs>
          <w:tab w:leader="none" w:pos="6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Actions or Proceedings</w:t>
      </w:r>
      <w:r>
        <w:rPr>
          <w:rFonts w:ascii="Times New Roman" w:cs="Times New Roman" w:eastAsia="Times New Roman" w:hAnsi="Times New Roman"/>
          <w:sz w:val="18"/>
          <w:szCs w:val="18"/>
          <w:color w:val="auto"/>
        </w:rPr>
        <w:t>. 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and the Prospectus and proceedings that would not reasonably be expected to, singly or in the aggregate, result in a Material Adverse Change or on the power or ability of the Company to perform its obligations under this Agreement or to consummate the transactions contemplated by each of the Registration Statement and the Prospectus or (ii) that are required to be described in the Registration Statement and the Prospectus and are not described in all material respects; and there are no statutes, regulations, contracts or other documents to which the Company or any of its subsidiaries is subject or bound that are required to</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40" w:top="1440" w:right="359" w:bottom="1440" w:gutter="0" w:footer="0" w:header="0"/>
        </w:sectPr>
      </w:pPr>
    </w:p>
    <w:bookmarkStart w:id="13" w:name="page14"/>
    <w:bookmarkEnd w:id="13"/>
    <w:p>
      <w:pPr>
        <w:spacing w:after="0" w:line="60"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8"/>
          <w:szCs w:val="18"/>
          <w:color w:val="auto"/>
        </w:rPr>
        <w:t>be described in the Registration Statement or the Prospectus or to be filed as exhibits to the Registration Statement that are not described in all material respects or filed as required.</w:t>
      </w:r>
    </w:p>
    <w:p>
      <w:pPr>
        <w:spacing w:after="0" w:line="57" w:lineRule="exact"/>
        <w:rPr>
          <w:sz w:val="20"/>
          <w:szCs w:val="20"/>
          <w:color w:val="auto"/>
        </w:rPr>
      </w:pPr>
    </w:p>
    <w:p>
      <w:pPr>
        <w:ind w:right="180" w:firstLine="439"/>
        <w:spacing w:after="0" w:line="255" w:lineRule="auto"/>
        <w:tabs>
          <w:tab w:leader="none" w:pos="65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Disputes.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reasonably be expected to, singly or in the aggregate, result in a Material Adverse Change, except for the wage and hour claim filed on December 19, 2024 in the state court of California.</w:t>
      </w:r>
    </w:p>
    <w:p>
      <w:pPr>
        <w:spacing w:after="0" w:line="74" w:lineRule="exact"/>
        <w:rPr>
          <w:rFonts w:ascii="Times New Roman" w:cs="Times New Roman" w:eastAsia="Times New Roman" w:hAnsi="Times New Roman"/>
          <w:sz w:val="18"/>
          <w:szCs w:val="18"/>
          <w:color w:val="auto"/>
        </w:rPr>
      </w:pPr>
    </w:p>
    <w:p>
      <w:pPr>
        <w:ind w:right="20" w:firstLine="439"/>
        <w:spacing w:after="0" w:line="252" w:lineRule="auto"/>
        <w:tabs>
          <w:tab w:leader="none" w:pos="66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Necessary Permits, etc</w:t>
      </w:r>
      <w:r>
        <w:rPr>
          <w:rFonts w:ascii="Times New Roman" w:cs="Times New Roman" w:eastAsia="Times New Roman" w:hAnsi="Times New Roman"/>
          <w:sz w:val="18"/>
          <w:szCs w:val="18"/>
          <w:color w:val="auto"/>
        </w:rPr>
        <w:t>. The Company and its subsidiaries, taken as a whole, possess all certificates, authorizations and permits issued by the appropriate federal, state or foreign regulatory authorities necessary to conduct their respective businesses, except where the failure to obtain such certificates, authorizations and permits would not reasonably be expected to result in a Material Adverse Change,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reasonably be expected to result in a Material Adverse Change.</w:t>
      </w:r>
    </w:p>
    <w:p>
      <w:pPr>
        <w:spacing w:after="0" w:line="79" w:lineRule="exact"/>
        <w:rPr>
          <w:rFonts w:ascii="Times New Roman" w:cs="Times New Roman" w:eastAsia="Times New Roman" w:hAnsi="Times New Roman"/>
          <w:sz w:val="18"/>
          <w:szCs w:val="18"/>
          <w:color w:val="auto"/>
        </w:rPr>
      </w:pPr>
    </w:p>
    <w:p>
      <w:pPr>
        <w:ind w:left="640" w:hanging="201"/>
        <w:spacing w:after="0"/>
        <w:tabs>
          <w:tab w:leader="none" w:pos="64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Law Compliance</w:t>
      </w:r>
      <w:r>
        <w:rPr>
          <w:rFonts w:ascii="Times New Roman" w:cs="Times New Roman" w:eastAsia="Times New Roman" w:hAnsi="Times New Roman"/>
          <w:sz w:val="17"/>
          <w:szCs w:val="17"/>
          <w:color w:val="auto"/>
        </w:rPr>
        <w:t>. Except as would not, singly or in the aggregate, result in a Material Adverse Change, the Company and each of its subsidiaries</w:t>
      </w:r>
    </w:p>
    <w:p>
      <w:pPr>
        <w:spacing w:after="0" w:line="35" w:lineRule="exact"/>
        <w:rPr>
          <w:rFonts w:ascii="Times New Roman" w:cs="Times New Roman" w:eastAsia="Times New Roman" w:hAnsi="Times New Roman"/>
          <w:sz w:val="17"/>
          <w:szCs w:val="17"/>
          <w:color w:val="auto"/>
        </w:rPr>
      </w:pPr>
    </w:p>
    <w:p>
      <w:pPr>
        <w:ind w:right="100" w:firstLine="6"/>
        <w:spacing w:after="0" w:line="267" w:lineRule="auto"/>
        <w:tabs>
          <w:tab w:leader="none" w:pos="21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filed all federal, state, local and foreign tax returns required to be filed by them through the date of this Agreement or have requested extensions thereof, (ii) have paid all taxes required to be paid by them, whether or not shown on any tax return (except as currently being contested in good faith and for which reserves required by U.S. GAAP have been created in the financial statements of the Company), and (iii) have not been notified, or otherwise have no knowledge, of any tax deficiency that has been, or could reasonably be expected to be, determined adversely to the Company or any of its subsidiaries.</w:t>
      </w:r>
    </w:p>
    <w:p>
      <w:pPr>
        <w:spacing w:after="0" w:line="64" w:lineRule="exact"/>
        <w:rPr>
          <w:rFonts w:ascii="Times New Roman" w:cs="Times New Roman" w:eastAsia="Times New Roman" w:hAnsi="Times New Roman"/>
          <w:sz w:val="17"/>
          <w:szCs w:val="17"/>
          <w:color w:val="auto"/>
        </w:rPr>
      </w:pPr>
    </w:p>
    <w:p>
      <w:pPr>
        <w:ind w:right="80" w:firstLine="439"/>
        <w:spacing w:after="0" w:line="259" w:lineRule="auto"/>
        <w:tabs>
          <w:tab w:leader="none" w:pos="6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an “Investment Company</w:t>
      </w:r>
      <w:r>
        <w:rPr>
          <w:rFonts w:ascii="Times New Roman" w:cs="Times New Roman" w:eastAsia="Times New Roman" w:hAnsi="Times New Roman"/>
          <w:sz w:val="18"/>
          <w:szCs w:val="18"/>
          <w:color w:val="auto"/>
        </w:rPr>
        <w:t>”. The Company is not, and immediately after giving effect to the offering and sale of the Placement Shares and the application of the Net Proceeds as described in each of the Registration Statement and the Prospectus will not be, required to register as an “investment company” as such term is defined in the Investment Company Act of 1940, as amended.</w:t>
      </w:r>
    </w:p>
    <w:p>
      <w:pPr>
        <w:spacing w:after="0" w:line="71" w:lineRule="exact"/>
        <w:rPr>
          <w:rFonts w:ascii="Times New Roman" w:cs="Times New Roman" w:eastAsia="Times New Roman" w:hAnsi="Times New Roman"/>
          <w:sz w:val="18"/>
          <w:szCs w:val="18"/>
          <w:color w:val="auto"/>
        </w:rPr>
      </w:pPr>
    </w:p>
    <w:p>
      <w:pPr>
        <w:ind w:right="100" w:firstLine="439"/>
        <w:spacing w:after="0" w:line="251" w:lineRule="auto"/>
        <w:tabs>
          <w:tab w:leader="none" w:pos="6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are, in the reasonable judgment of the Company, prudent and customary in the businesses in which they are engaged; taken as a whole,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singly or in the aggregate, result in a Material Adverse Change.</w:t>
      </w:r>
    </w:p>
    <w:p>
      <w:pPr>
        <w:spacing w:after="0" w:line="79" w:lineRule="exact"/>
        <w:rPr>
          <w:rFonts w:ascii="Times New Roman" w:cs="Times New Roman" w:eastAsia="Times New Roman" w:hAnsi="Times New Roman"/>
          <w:sz w:val="18"/>
          <w:szCs w:val="18"/>
          <w:color w:val="auto"/>
        </w:rPr>
      </w:pPr>
    </w:p>
    <w:p>
      <w:pPr>
        <w:ind w:right="60" w:firstLine="439"/>
        <w:spacing w:after="0" w:line="259" w:lineRule="auto"/>
        <w:tabs>
          <w:tab w:leader="none" w:pos="72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Price Stabilization or Manipulation</w:t>
      </w:r>
      <w:r>
        <w:rPr>
          <w:rFonts w:ascii="Times New Roman" w:cs="Times New Roman" w:eastAsia="Times New Roman" w:hAnsi="Times New Roman"/>
          <w:sz w:val="18"/>
          <w:szCs w:val="18"/>
          <w:color w:val="auto"/>
        </w:rPr>
        <w:t>. The Company has not taken and will not take, directly or indirectly, any action designed to or that might be reasonably expected to cause or result in stabilization or manipulation of the price of any security of the Company to facilitate the sale or resale of the Placement Shares.</w:t>
      </w:r>
    </w:p>
    <w:p>
      <w:pPr>
        <w:spacing w:after="0" w:line="71" w:lineRule="exact"/>
        <w:rPr>
          <w:rFonts w:ascii="Times New Roman" w:cs="Times New Roman" w:eastAsia="Times New Roman" w:hAnsi="Times New Roman"/>
          <w:sz w:val="18"/>
          <w:szCs w:val="18"/>
          <w:color w:val="auto"/>
        </w:rPr>
      </w:pPr>
    </w:p>
    <w:p>
      <w:pPr>
        <w:ind w:right="40" w:firstLine="439"/>
        <w:spacing w:after="0" w:line="274" w:lineRule="auto"/>
        <w:tabs>
          <w:tab w:leader="none" w:pos="6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business relationships or related-party transactions involving the Company or any of its subsidiaries or any other person required to be described in the Prospectus which have not been described as required.</w:t>
      </w:r>
    </w:p>
    <w:p>
      <w:pPr>
        <w:spacing w:after="0" w:line="57" w:lineRule="exact"/>
        <w:rPr>
          <w:rFonts w:ascii="Times New Roman" w:cs="Times New Roman" w:eastAsia="Times New Roman" w:hAnsi="Times New Roman"/>
          <w:sz w:val="18"/>
          <w:szCs w:val="18"/>
          <w:color w:val="auto"/>
        </w:rPr>
      </w:pPr>
    </w:p>
    <w:p>
      <w:pPr>
        <w:ind w:right="20" w:firstLine="439"/>
        <w:spacing w:after="0" w:line="252" w:lineRule="auto"/>
        <w:tabs>
          <w:tab w:leader="none" w:pos="6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The documents incorporated or deemed to be incorporated by reference in the Prospectus, at the time they were or hereafter are filed with the Commission, complied and will comply in all material respects with the requirements of the Exchange Act, and, when read together with the other information in the Prospectus, at the Settlement Dates,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79" w:lineRule="exact"/>
        <w:rPr>
          <w:rFonts w:ascii="Times New Roman" w:cs="Times New Roman" w:eastAsia="Times New Roman" w:hAnsi="Times New Roman"/>
          <w:sz w:val="18"/>
          <w:szCs w:val="18"/>
          <w:color w:val="auto"/>
        </w:rPr>
      </w:pPr>
    </w:p>
    <w:p>
      <w:pPr>
        <w:ind w:firstLine="439"/>
        <w:spacing w:after="0" w:line="259" w:lineRule="auto"/>
        <w:tabs>
          <w:tab w:leader="none" w:pos="67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Contributions or Other Payments</w:t>
      </w:r>
      <w:r>
        <w:rPr>
          <w:rFonts w:ascii="Times New Roman" w:cs="Times New Roman" w:eastAsia="Times New Roman" w:hAnsi="Times New Roman"/>
          <w:sz w:val="18"/>
          <w:szCs w:val="18"/>
          <w:color w:val="auto"/>
        </w:rPr>
        <w:t>. (i) None of the Company or any of its subsidiaries or affiliates, or any director or officer thereof, or, to the Company’s knowledge, any employee, agent or representative of the Company or of any of its subsidiaries or affiliates, has taken or will take any action in furtherance of an offer, payment, promise to pay, or authorization or approval of the payment, giving or receipt of money, property, gifts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-5284470</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1440" w:right="379" w:bottom="1440" w:gutter="0" w:footer="0" w:header="0"/>
        </w:sectPr>
      </w:pPr>
    </w:p>
    <w:bookmarkStart w:id="14" w:name="page15"/>
    <w:bookmarkEnd w:id="14"/>
    <w:p>
      <w:pPr>
        <w:spacing w:after="0" w:line="6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Net Proceeds in furtherance of an offer, payment, promise to pay, or authorization of the payment or giving of money, or anything else of value, to any person in violation of any applicable anti-corruption laws.</w:t>
      </w:r>
    </w:p>
    <w:p>
      <w:pPr>
        <w:spacing w:after="0" w:line="84" w:lineRule="exact"/>
        <w:rPr>
          <w:sz w:val="20"/>
          <w:szCs w:val="20"/>
          <w:color w:val="auto"/>
        </w:rPr>
      </w:pPr>
    </w:p>
    <w:p>
      <w:pPr>
        <w:ind w:right="20" w:firstLine="439"/>
        <w:spacing w:after="0" w:line="267" w:lineRule="auto"/>
        <w:tabs>
          <w:tab w:leader="none" w:pos="75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Money Laundering Laws</w:t>
      </w:r>
      <w:r>
        <w:rPr>
          <w:rFonts w:ascii="Times New Roman" w:cs="Times New Roman" w:eastAsia="Times New Roman" w:hAnsi="Times New Roman"/>
          <w:sz w:val="17"/>
          <w:szCs w:val="17"/>
          <w:color w:val="auto"/>
        </w:rPr>
        <w:t>.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7"/>
          <w:szCs w:val="17"/>
          <w:b w:val="1"/>
          <w:bCs w:val="1"/>
          <w:color w:val="auto"/>
        </w:rPr>
        <w:t>Anti-Money Laundering Laws</w:t>
      </w:r>
      <w:r>
        <w:rPr>
          <w:rFonts w:ascii="Times New Roman" w:cs="Times New Roman" w:eastAsia="Times New Roman" w:hAnsi="Times New Roman"/>
          <w:sz w:val="17"/>
          <w:szCs w:val="17"/>
          <w:color w:val="auto"/>
        </w:rPr>
        <w:t>”), and no action, suit or proceeding by or before any court or governmental agency, authority or body or any arbitrator involving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or any of its subsidiaries with respect to the Anti-Money Laundering Laws is pending or, to the knowledge of the Company, threatened.</w:t>
      </w:r>
    </w:p>
    <w:p>
      <w:pPr>
        <w:spacing w:after="0" w:line="67" w:lineRule="exact"/>
        <w:rPr>
          <w:rFonts w:ascii="Times New Roman" w:cs="Times New Roman" w:eastAsia="Times New Roman" w:hAnsi="Times New Roman"/>
          <w:sz w:val="17"/>
          <w:szCs w:val="17"/>
          <w:color w:val="auto"/>
        </w:rPr>
      </w:pPr>
    </w:p>
    <w:p>
      <w:pPr>
        <w:ind w:right="80" w:firstLine="439"/>
        <w:spacing w:after="0" w:line="269" w:lineRule="auto"/>
        <w:tabs>
          <w:tab w:leader="none" w:pos="77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OFAC</w:t>
      </w:r>
      <w:r>
        <w:rPr>
          <w:rFonts w:ascii="Times New Roman" w:cs="Times New Roman" w:eastAsia="Times New Roman" w:hAnsi="Times New Roman"/>
          <w:sz w:val="17"/>
          <w:szCs w:val="17"/>
          <w:color w:val="auto"/>
        </w:rPr>
        <w:t>. (i) None of the Company, any of its subsidiaries, or any director or officer thereof, or, to the Company’s knowledge, any employee, agent, affiliate or representative of the Company or any of its subsidiaries, is an individual or entity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that is, or is owned or otherwise controlled by one or more Persons that are: (A) 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or (B) located, organized or resident in a country or territory that is the subject of comprehensive Sanctions (including, without limitation,</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Crimea, Cuba, Iran, North Korea and Syria) (collectively, “</w:t>
      </w:r>
      <w:r>
        <w:rPr>
          <w:rFonts w:ascii="Times New Roman" w:cs="Times New Roman" w:eastAsia="Times New Roman" w:hAnsi="Times New Roman"/>
          <w:sz w:val="18"/>
          <w:szCs w:val="18"/>
          <w:b w:val="1"/>
          <w:bCs w:val="1"/>
          <w:color w:val="auto"/>
        </w:rPr>
        <w:t>Sanctioned Countries</w:t>
      </w:r>
      <w:r>
        <w:rPr>
          <w:rFonts w:ascii="Times New Roman" w:cs="Times New Roman" w:eastAsia="Times New Roman" w:hAnsi="Times New Roman"/>
          <w:sz w:val="18"/>
          <w:szCs w:val="18"/>
          <w:color w:val="auto"/>
        </w:rPr>
        <w:t>”). (ii) The Company will not, directly or indirectly, use the Net Proceeds, or lend, contribute or otherwise make available such Net Proceeds to any subsidiary, joint venture partner or other Person: (A) to fund or facilitate any activities or business of or with any Person that, at the time of such funding or facilitation, is the subject of Sanctions or with a Sanctioned Country; or (B) in any other manner that will result in a violation of Sanctions by any Person (including any Person participating in the offering, whether as underwriter, advisor, investor or otherwise). (iii) The Company and each of its subsidiaries have not knowingly engaged in, are not now knowingly engaged in, and will not knowingly engage in, any dealings or transactions with any Person that at the time of the dealing or transaction is or was the subject of Sanctions or with a Sanctioned Country.</w:t>
      </w:r>
    </w:p>
    <w:p>
      <w:pPr>
        <w:spacing w:after="0" w:line="83" w:lineRule="exact"/>
        <w:rPr>
          <w:sz w:val="20"/>
          <w:szCs w:val="20"/>
          <w:color w:val="auto"/>
        </w:rPr>
      </w:pPr>
    </w:p>
    <w:p>
      <w:pPr>
        <w:ind w:right="20" w:firstLine="439"/>
        <w:spacing w:after="0" w:line="265" w:lineRule="auto"/>
        <w:tabs>
          <w:tab w:leader="none" w:pos="75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Company’s Accounting System</w:t>
      </w:r>
      <w:r>
        <w:rPr>
          <w:rFonts w:ascii="Times New Roman" w:cs="Times New Roman" w:eastAsia="Times New Roman" w:hAnsi="Times New Roman"/>
          <w:sz w:val="17"/>
          <w:szCs w:val="17"/>
          <w:color w:val="auto"/>
        </w:rPr>
        <w:t>. The Company maintains a system of “internal control over financial reporting” (as such term is defined in Rule 13a-15(f) of the General Rules and Regulations under the Exchange Act (the “</w:t>
      </w:r>
      <w:r>
        <w:rPr>
          <w:rFonts w:ascii="Times New Roman" w:cs="Times New Roman" w:eastAsia="Times New Roman" w:hAnsi="Times New Roman"/>
          <w:sz w:val="17"/>
          <w:szCs w:val="17"/>
          <w:b w:val="1"/>
          <w:bCs w:val="1"/>
          <w:u w:val="single" w:color="auto"/>
          <w:color w:val="auto"/>
        </w:rPr>
        <w:t>Exchange Act Rules</w:t>
      </w:r>
      <w:r>
        <w:rPr>
          <w:rFonts w:ascii="Times New Roman" w:cs="Times New Roman" w:eastAsia="Times New Roman" w:hAnsi="Times New Roman"/>
          <w:sz w:val="17"/>
          <w:szCs w:val="17"/>
          <w:color w:val="auto"/>
        </w:rPr>
        <w:t>”)) that complies with the requirements of the Exchange Act and has been designed by their respective 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U.S.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The Company’s internal control over financial reporting is effective. Except as described in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and adversely affected, or is reasonably likely to materially and adversely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80"/>
          </w:cols>
          <w:pgMar w:left="320" w:top="1440" w:right="399" w:bottom="1440" w:gutter="0" w:footer="0" w:header="0"/>
        </w:sectPr>
      </w:pPr>
    </w:p>
    <w:bookmarkStart w:id="15" w:name="page16"/>
    <w:bookmarkEnd w:id="15"/>
    <w:p>
      <w:pPr>
        <w:spacing w:after="0" w:line="60" w:lineRule="exact"/>
        <w:rPr>
          <w:sz w:val="20"/>
          <w:szCs w:val="20"/>
          <w:color w:val="auto"/>
        </w:rPr>
      </w:pPr>
    </w:p>
    <w:p>
      <w:pPr>
        <w:ind w:right="80" w:firstLine="439"/>
        <w:spacing w:after="0" w:line="251" w:lineRule="auto"/>
        <w:tabs>
          <w:tab w:leader="none" w:pos="7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maintains disclosure controls and procedures (as such is defined in Rule 13a-15(e) of the Exchange Act Rules) that comply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 The Company has conducted evaluations of the effectiveness of its disclosure controls as required by Rule 13a-15 of the Exchange Act.</w:t>
      </w:r>
    </w:p>
    <w:p>
      <w:pPr>
        <w:spacing w:after="0" w:line="79" w:lineRule="exact"/>
        <w:rPr>
          <w:rFonts w:ascii="Times New Roman" w:cs="Times New Roman" w:eastAsia="Times New Roman" w:hAnsi="Times New Roman"/>
          <w:sz w:val="18"/>
          <w:szCs w:val="18"/>
          <w:color w:val="auto"/>
        </w:rPr>
      </w:pPr>
    </w:p>
    <w:p>
      <w:pPr>
        <w:ind w:firstLine="439"/>
        <w:spacing w:after="0" w:line="248" w:lineRule="auto"/>
        <w:tabs>
          <w:tab w:leader="none" w:pos="7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To the Company’s knowledge, the Company and its subsidiaries, taken as a whole,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reasonably be expected to, singly or in the aggregate, result in a Material Adverse Change.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reasonably be expected to, singly or in the aggregate, result in a Material Adverse Change.</w:t>
      </w:r>
    </w:p>
    <w:p>
      <w:pPr>
        <w:spacing w:after="0" w:line="87" w:lineRule="exact"/>
        <w:rPr>
          <w:rFonts w:ascii="Times New Roman" w:cs="Times New Roman" w:eastAsia="Times New Roman" w:hAnsi="Times New Roman"/>
          <w:sz w:val="18"/>
          <w:szCs w:val="18"/>
          <w:color w:val="auto"/>
        </w:rPr>
      </w:pPr>
    </w:p>
    <w:p>
      <w:pPr>
        <w:ind w:right="80" w:firstLine="439"/>
        <w:spacing w:after="0" w:line="251" w:lineRule="auto"/>
        <w:tabs>
          <w:tab w:leader="none" w:pos="7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Properties</w:t>
      </w:r>
      <w:r>
        <w:rPr>
          <w:rFonts w:ascii="Times New Roman" w:cs="Times New Roman" w:eastAsia="Times New Roman" w:hAnsi="Times New Roman"/>
          <w:sz w:val="18"/>
          <w:szCs w:val="18"/>
          <w:color w:val="auto"/>
        </w:rPr>
        <w:t>. The Company and each of its subsidiaries have good and marketable title in fee simple to all real property and good and marketable title to all personal property owned by them which is material to the business of the Company and its subsidiaries, taken as a whole,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to the Company’s knowledge, enforceable leases with such exceptions as are not material and do not interfere with the use made and proposed to be made of such property and buildings by the Company and its subsidiaries.</w:t>
      </w:r>
    </w:p>
    <w:p>
      <w:pPr>
        <w:spacing w:after="0" w:line="79" w:lineRule="exact"/>
        <w:rPr>
          <w:rFonts w:ascii="Times New Roman" w:cs="Times New Roman" w:eastAsia="Times New Roman" w:hAnsi="Times New Roman"/>
          <w:sz w:val="18"/>
          <w:szCs w:val="18"/>
          <w:color w:val="auto"/>
        </w:rPr>
      </w:pPr>
    </w:p>
    <w:p>
      <w:pPr>
        <w:ind w:right="20" w:firstLine="439"/>
        <w:spacing w:after="0" w:line="247" w:lineRule="auto"/>
        <w:tabs>
          <w:tab w:leader="none" w:pos="7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Except as would not reasonably be expected to result in a Material Adverse Change, (i) the Company and its subsidiaries own or have a valid license to all patents, inventions, copyrights, know how (including trade secrets and other unpatented and/or unpatentable proprietary or confidential information, systems or procedures), trademarks, service marks and trade names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used in or reasonably necessary to the conduct of their businesses; (ii) the Intellectual Property Rights owned by the Company and its subsidiaries and, to the Company’s knowledge, the Intellectual Property Rights licensed to the Company and its subsidiaries,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(iv) to the Company’s knowledge, no third party is infringing, misappropriating or otherwise violating, or has infringed, misappropriated or otherwise violated, any Intellectual Property Rights owned by the Company; (v) neither the Company nor any of its subsidiaries infringes, misappropriates or otherwise violates, or has infringed, misappropriated or otherwise violated, any Intellectual Property Rights; (vi)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90" w:lineRule="exact"/>
        <w:rPr>
          <w:rFonts w:ascii="Times New Roman" w:cs="Times New Roman" w:eastAsia="Times New Roman" w:hAnsi="Times New Roman"/>
          <w:sz w:val="18"/>
          <w:szCs w:val="18"/>
          <w:color w:val="auto"/>
        </w:rPr>
      </w:pPr>
    </w:p>
    <w:p>
      <w:pPr>
        <w:jc w:val="both"/>
        <w:ind w:right="220" w:firstLine="439"/>
        <w:spacing w:after="0" w:line="259" w:lineRule="auto"/>
        <w:tabs>
          <w:tab w:leader="none" w:pos="7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Except as would not reasonably be expected to result in a Material Adverse Change, (i) the Company and its subsidiaries use and have used any and all software and other materials distributed under a “free,” “open source” or similar licensing model (including but not limited to the MIT License, Apache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6" w:name="page17"/>
    <w:bookmarkEnd w:id="16"/>
    <w:p>
      <w:pPr>
        <w:spacing w:after="0" w:line="5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License, GNU General Public License, GNU Lesser General Public License and GNU Affero General Public License) (“</w:t>
      </w:r>
      <w:r>
        <w:rPr>
          <w:rFonts w:ascii="Times New Roman" w:cs="Times New Roman" w:eastAsia="Times New Roman" w:hAnsi="Times New Roman"/>
          <w:sz w:val="18"/>
          <w:szCs w:val="18"/>
          <w:b w:val="1"/>
          <w:bCs w:val="1"/>
          <w:u w:val="single" w:color="auto"/>
          <w:color w:val="auto"/>
        </w:rPr>
        <w:t>Open Source Software</w:t>
      </w:r>
      <w:r>
        <w:rPr>
          <w:rFonts w:ascii="Times New Roman" w:cs="Times New Roman" w:eastAsia="Times New Roman" w:hAnsi="Times New Roman"/>
          <w:sz w:val="18"/>
          <w:szCs w:val="18"/>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w:t>
      </w:r>
    </w:p>
    <w:p>
      <w:pPr>
        <w:spacing w:after="0" w:line="81" w:lineRule="exact"/>
        <w:rPr>
          <w:sz w:val="20"/>
          <w:szCs w:val="20"/>
          <w:color w:val="auto"/>
        </w:rPr>
      </w:pPr>
    </w:p>
    <w:p>
      <w:pPr>
        <w:ind w:right="40" w:firstLine="439"/>
        <w:spacing w:after="0" w:line="249" w:lineRule="auto"/>
        <w:tabs>
          <w:tab w:leader="none" w:pos="6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All of the Placement Shares that have been or may be sold under this Agreement shall have been approved for listing on the Nasdaq prior to being sold, subject to official notice of issuance; the Company has taken all necessary actions to ensure that, upon and at all times after the Nasdaq shall have approved the Placement Shares for listing, it will be in compliance with all applicable corporate governance requirements set forth in the Nasdaq’s listing rules that are then in effect.</w:t>
      </w:r>
    </w:p>
    <w:p>
      <w:pPr>
        <w:spacing w:after="0" w:line="84" w:lineRule="exact"/>
        <w:rPr>
          <w:rFonts w:ascii="Times New Roman" w:cs="Times New Roman" w:eastAsia="Times New Roman" w:hAnsi="Times New Roman"/>
          <w:sz w:val="18"/>
          <w:szCs w:val="18"/>
          <w:color w:val="auto"/>
        </w:rPr>
      </w:pPr>
    </w:p>
    <w:p>
      <w:pPr>
        <w:ind w:right="240" w:firstLine="439"/>
        <w:spacing w:after="0" w:line="274" w:lineRule="auto"/>
        <w:tabs>
          <w:tab w:leader="none" w:pos="6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Chardan, there is no broker, finder or other party that is entitled to receive from the Company any brokerage or finder’s fee or other fee or commission as a result of any transactions contemplated by this Agreement.</w:t>
      </w:r>
    </w:p>
    <w:p>
      <w:pPr>
        <w:spacing w:after="0" w:line="57" w:lineRule="exact"/>
        <w:rPr>
          <w:rFonts w:ascii="Times New Roman" w:cs="Times New Roman" w:eastAsia="Times New Roman" w:hAnsi="Times New Roman"/>
          <w:sz w:val="18"/>
          <w:szCs w:val="18"/>
          <w:color w:val="auto"/>
        </w:rPr>
      </w:pPr>
    </w:p>
    <w:p>
      <w:pPr>
        <w:ind w:right="240" w:firstLine="439"/>
        <w:spacing w:after="0" w:line="259" w:lineRule="auto"/>
        <w:tabs>
          <w:tab w:leader="none" w:pos="7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Outstanding Loans or Other Indebtedness</w:t>
      </w:r>
      <w:r>
        <w:rPr>
          <w:rFonts w:ascii="Times New Roman" w:cs="Times New Roman" w:eastAsia="Times New Roman" w:hAnsi="Times New Roman"/>
          <w:sz w:val="18"/>
          <w:szCs w:val="18"/>
          <w:color w:val="auto"/>
        </w:rPr>
        <w:t>. There are no outstanding loans, advances (except normal advances for business expenses in the ordinary course of business) or guarantees or indebtedness by the Company to or for the benefit of any of the officers or directors of the Company or any of the members of any of them.</w:t>
      </w:r>
    </w:p>
    <w:p>
      <w:pPr>
        <w:spacing w:after="0" w:line="71" w:lineRule="exact"/>
        <w:rPr>
          <w:rFonts w:ascii="Times New Roman" w:cs="Times New Roman" w:eastAsia="Times New Roman" w:hAnsi="Times New Roman"/>
          <w:sz w:val="18"/>
          <w:szCs w:val="18"/>
          <w:color w:val="auto"/>
        </w:rPr>
      </w:pPr>
    </w:p>
    <w:p>
      <w:pPr>
        <w:ind w:right="100" w:firstLine="439"/>
        <w:spacing w:after="0" w:line="274" w:lineRule="auto"/>
        <w:tabs>
          <w:tab w:leader="none" w:pos="6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Reliance. The Company has not relied upon Chardan or legal counsel for Chardan for any legal, tax or accounting advice in connection with the offering and sale of the Placement Shares.</w:t>
      </w:r>
    </w:p>
    <w:p>
      <w:pPr>
        <w:spacing w:after="0" w:line="57" w:lineRule="exact"/>
        <w:rPr>
          <w:rFonts w:ascii="Times New Roman" w:cs="Times New Roman" w:eastAsia="Times New Roman" w:hAnsi="Times New Roman"/>
          <w:sz w:val="18"/>
          <w:szCs w:val="18"/>
          <w:color w:val="auto"/>
        </w:rPr>
      </w:pPr>
    </w:p>
    <w:p>
      <w:pPr>
        <w:ind w:right="560" w:firstLine="439"/>
        <w:spacing w:after="0" w:line="274" w:lineRule="auto"/>
        <w:tabs>
          <w:tab w:leader="none" w:pos="8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 Relationship</w:t>
      </w:r>
      <w:r>
        <w:rPr>
          <w:rFonts w:ascii="Times New Roman" w:cs="Times New Roman" w:eastAsia="Times New Roman" w:hAnsi="Times New Roman"/>
          <w:sz w:val="18"/>
          <w:szCs w:val="18"/>
          <w:color w:val="auto"/>
        </w:rPr>
        <w:t>. The Company does not intend to use any of the Net Proceeds to repay any outstanding debt owed to Chardan or any affiliate of Chardan.</w:t>
      </w:r>
    </w:p>
    <w:p>
      <w:pPr>
        <w:spacing w:after="0" w:line="57" w:lineRule="exact"/>
        <w:rPr>
          <w:rFonts w:ascii="Times New Roman" w:cs="Times New Roman" w:eastAsia="Times New Roman" w:hAnsi="Times New Roman"/>
          <w:sz w:val="18"/>
          <w:szCs w:val="18"/>
          <w:color w:val="auto"/>
        </w:rPr>
      </w:pPr>
    </w:p>
    <w:p>
      <w:pPr>
        <w:ind w:firstLine="439"/>
        <w:spacing w:after="0" w:line="259" w:lineRule="auto"/>
        <w:tabs>
          <w:tab w:leader="none" w:pos="7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has not been advised, and has no knowledge, that it and each of its subsidiaries are not conducting business in compliance with all applicable laws, rules and regulations of the jurisdictions in which it is conducting business, except where failure to be so in compliance would not result in a Material Adverse Change.</w:t>
      </w:r>
    </w:p>
    <w:p>
      <w:pPr>
        <w:spacing w:after="0" w:line="71" w:lineRule="exact"/>
        <w:rPr>
          <w:rFonts w:ascii="Times New Roman" w:cs="Times New Roman" w:eastAsia="Times New Roman" w:hAnsi="Times New Roman"/>
          <w:sz w:val="18"/>
          <w:szCs w:val="18"/>
          <w:color w:val="auto"/>
        </w:rPr>
      </w:pPr>
    </w:p>
    <w:p>
      <w:pPr>
        <w:ind w:right="80" w:firstLine="439"/>
        <w:spacing w:after="0" w:line="248" w:lineRule="auto"/>
        <w:tabs>
          <w:tab w:leader="none" w:pos="7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Security</w:t>
      </w:r>
      <w:r>
        <w:rPr>
          <w:rFonts w:ascii="Times New Roman" w:cs="Times New Roman" w:eastAsia="Times New Roman" w:hAnsi="Times New Roman"/>
          <w:sz w:val="18"/>
          <w:szCs w:val="18"/>
          <w:color w:val="auto"/>
        </w:rPr>
        <w:t>. Except as would not reasonably be expected to result in a Material Adverse Change, (i) the Company and each of its subsidiaries have complied and are presently in compliance with all Company privacy policies and external privacy policies, contractual obligations, contractually obligated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cs="Times New Roman" w:eastAsia="Times New Roman" w:hAnsi="Times New Roman"/>
          <w:sz w:val="18"/>
          <w:szCs w:val="18"/>
          <w:b w:val="1"/>
          <w:bCs w:val="1"/>
          <w:color w:val="auto"/>
        </w:rPr>
        <w:t>Data 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(ii) the Company has not received any notification of or complaint regarding and is unaware of any other facts that, individually or in the aggregate, would reasonably indicate non-compliance with any Data Security Obligation; and (iii) there is no action, suit or proceeding by or before any court or governmental agency, authority or body pending or, to the Company’s knowledge, threatened alleging non-compliance with any Data Security Obligation, nor are there any material security incidents or events that would reasonably be expected to result in notification obligations, regulatory inquiry or a Material Adverse Change.</w:t>
      </w:r>
    </w:p>
    <w:p>
      <w:pPr>
        <w:spacing w:after="0" w:line="87" w:lineRule="exact"/>
        <w:rPr>
          <w:rFonts w:ascii="Times New Roman" w:cs="Times New Roman" w:eastAsia="Times New Roman" w:hAnsi="Times New Roman"/>
          <w:sz w:val="18"/>
          <w:szCs w:val="18"/>
          <w:color w:val="auto"/>
        </w:rPr>
      </w:pPr>
    </w:p>
    <w:p>
      <w:pPr>
        <w:ind w:right="60" w:firstLine="439"/>
        <w:spacing w:after="0" w:line="259" w:lineRule="auto"/>
        <w:tabs>
          <w:tab w:leader="none" w:pos="7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Systems. The Company and each of its subsidiaries have implemented commercially reasonable technical and organizational measures designed to protect the information technology systems and Data used in connection with the operation of the Company’s and its subsidiaries’ businesses as currently conducted. Without limiting the foregoing, the Company and its subsidiaries have used commercially reasonable efforts to establish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-2861310</wp:posOffset>
            </wp:positionV>
            <wp:extent cx="585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5470" cy="8255"/>
                    </a:xfrm>
                    <a:prstGeom prst="rect">
                      <a:avLst/>
                    </a:prstGeom>
                    <a:noFill/>
                  </pic:spPr>
                </pic:pic>
              </a:graphicData>
            </a:graphic>
          </wp:anchor>
        </w:drawing>
        <w:drawing>
          <wp:anchor simplePos="0" relativeHeight="251657728" behindDoc="1" locked="0" layoutInCell="0" allowOverlap="1">
            <wp:simplePos x="0" y="0"/>
            <wp:positionH relativeFrom="column">
              <wp:posOffset>465455</wp:posOffset>
            </wp:positionH>
            <wp:positionV relativeFrom="paragraph">
              <wp:posOffset>-303530</wp:posOffset>
            </wp:positionV>
            <wp:extent cx="535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5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7" w:name="page18"/>
    <w:bookmarkEnd w:id="17"/>
    <w:p>
      <w:pPr>
        <w:spacing w:after="0" w:line="6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maintain, and have established, maintained, implemented and materially complied with, commercially reasonable information technology, information security, cyber security and data protection controls, policies and procedures, including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as currently conducted (“</w:t>
      </w:r>
      <w:r>
        <w:rPr>
          <w:rFonts w:ascii="Times New Roman" w:cs="Times New Roman" w:eastAsia="Times New Roman" w:hAnsi="Times New Roman"/>
          <w:sz w:val="17"/>
          <w:szCs w:val="17"/>
          <w:b w:val="1"/>
          <w:bCs w:val="1"/>
          <w:color w:val="auto"/>
        </w:rPr>
        <w:t>Breach</w:t>
      </w:r>
      <w:r>
        <w:rPr>
          <w:rFonts w:ascii="Times New Roman" w:cs="Times New Roman" w:eastAsia="Times New Roman" w:hAnsi="Times New Roman"/>
          <w:sz w:val="17"/>
          <w:szCs w:val="17"/>
          <w:color w:val="auto"/>
        </w:rPr>
        <w:t>”). The Company and each of its subsidiaries is presently in material compliance with all applicable laws and contractual obligations relating to the privacy and security of such information technology systems and Data and to the protection of such information technology systems and Data from unauthorized use, access, misappropriation or modification. Except as would not reasonably be expected to result in a Material Adverse Change, to the knowledge of the Company, there has been no such Breach, and the Company and its subsidiaries have not been notified of and have no knowledge of any event or condition that would reasonably be expected to result in, any such Breach.</w:t>
      </w:r>
    </w:p>
    <w:p>
      <w:pPr>
        <w:spacing w:after="0" w:line="71" w:lineRule="exact"/>
        <w:rPr>
          <w:sz w:val="20"/>
          <w:szCs w:val="20"/>
          <w:color w:val="auto"/>
        </w:rPr>
      </w:pPr>
    </w:p>
    <w:p>
      <w:pPr>
        <w:ind w:right="60" w:firstLine="439"/>
        <w:spacing w:after="0" w:line="249" w:lineRule="auto"/>
        <w:tabs>
          <w:tab w:leader="none" w:pos="7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Export and Import Laws</w:t>
      </w:r>
      <w:r>
        <w:rPr>
          <w:rFonts w:ascii="Times New Roman" w:cs="Times New Roman" w:eastAsia="Times New Roman" w:hAnsi="Times New Roman"/>
          <w:sz w:val="18"/>
          <w:szCs w:val="18"/>
          <w:color w:val="auto"/>
        </w:rPr>
        <w:t>. Each of the Company and the subsidiaries, and, to the Company’s knowledge, each of their affiliates and any director, officer, agent or employee of, or other person associated with or acting on behalf of, the Company has acted at all times in compliance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 w:cs="Times New Roman" w:eastAsia="Times New Roman" w:hAnsi="Times New Roman"/>
          <w:sz w:val="18"/>
          <w:szCs w:val="18"/>
          <w:b w:val="1"/>
          <w:bCs w:val="1"/>
          <w:u w:val="single" w:color="auto"/>
          <w:color w:val="auto"/>
        </w:rPr>
        <w:t>Export and Import Laws</w:t>
      </w:r>
      <w:r>
        <w:rPr>
          <w:rFonts w:ascii="Times New Roman" w:cs="Times New Roman" w:eastAsia="Times New Roman" w:hAnsi="Times New Roman"/>
          <w:sz w:val="18"/>
          <w:szCs w:val="18"/>
          <w:color w:val="auto"/>
        </w:rPr>
        <w:t>”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81" w:lineRule="exact"/>
        <w:rPr>
          <w:rFonts w:ascii="Times New Roman" w:cs="Times New Roman" w:eastAsia="Times New Roman" w:hAnsi="Times New Roman"/>
          <w:sz w:val="18"/>
          <w:szCs w:val="18"/>
          <w:color w:val="auto"/>
        </w:rPr>
      </w:pPr>
    </w:p>
    <w:p>
      <w:pPr>
        <w:ind w:left="720" w:hanging="281"/>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At The Market Sales Agreements</w:t>
      </w:r>
      <w:r>
        <w:rPr>
          <w:rFonts w:ascii="Times New Roman" w:cs="Times New Roman" w:eastAsia="Times New Roman" w:hAnsi="Times New Roman"/>
          <w:sz w:val="18"/>
          <w:szCs w:val="18"/>
          <w:color w:val="auto"/>
        </w:rPr>
        <w:t>. The Company is not a party to any agreement with an agent or underwriter for any other “at the market”</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w:t>
      </w:r>
    </w:p>
    <w:p>
      <w:pPr>
        <w:spacing w:after="0" w:line="91" w:lineRule="exact"/>
        <w:rPr>
          <w:rFonts w:ascii="Times New Roman" w:cs="Times New Roman" w:eastAsia="Times New Roman" w:hAnsi="Times New Roman"/>
          <w:sz w:val="18"/>
          <w:szCs w:val="18"/>
          <w:color w:val="auto"/>
        </w:rPr>
      </w:pPr>
    </w:p>
    <w:p>
      <w:pPr>
        <w:ind w:right="20" w:firstLine="439"/>
        <w:spacing w:after="0" w:line="271" w:lineRule="auto"/>
        <w:tabs>
          <w:tab w:leader="none" w:pos="73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Outbound Investment Security Program</w:t>
      </w:r>
      <w:r>
        <w:rPr>
          <w:rFonts w:ascii="Times New Roman" w:cs="Times New Roman" w:eastAsia="Times New Roman" w:hAnsi="Times New Roman"/>
          <w:sz w:val="17"/>
          <w:szCs w:val="17"/>
          <w:color w:val="auto"/>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 w:cs="Times New Roman" w:eastAsia="Times New Roman" w:hAnsi="Times New Roman"/>
          <w:sz w:val="17"/>
          <w:szCs w:val="17"/>
          <w:b w:val="1"/>
          <w:bCs w:val="1"/>
          <w:u w:val="single" w:color="auto"/>
          <w:color w:val="auto"/>
        </w:rPr>
        <w:t>Covered Activity</w:t>
      </w:r>
      <w:r>
        <w:rPr>
          <w:rFonts w:ascii="Times New Roman" w:cs="Times New Roman" w:eastAsia="Times New Roman" w:hAnsi="Times New Roman"/>
          <w:sz w:val="17"/>
          <w:szCs w:val="17"/>
          <w:color w:val="auto"/>
        </w:rPr>
        <w:t>”).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168"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Chardan or to counsel for Chardan pursuant to or in connection with this Agreement shall be deemed to be a representation and warranty by the Company to Chardan as to the matters set forth therein.</w:t>
      </w:r>
    </w:p>
    <w:p>
      <w:pPr>
        <w:spacing w:after="0" w:line="16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 xml:space="preserve">The Company acknowledges that Chardan and, for purposes of the opinions to be delivered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counsel to the Company and counsel to Chardan, will rely upon the accuracy and truthfulness of the foregoing representations and hereby consents to such reliance.</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Chardan that:</w:t>
      </w:r>
    </w:p>
    <w:p>
      <w:pPr>
        <w:spacing w:after="0" w:line="111" w:lineRule="exact"/>
        <w:rPr>
          <w:sz w:val="20"/>
          <w:szCs w:val="20"/>
          <w:color w:val="auto"/>
        </w:rPr>
      </w:pPr>
    </w:p>
    <w:p>
      <w:pPr>
        <w:ind w:firstLine="439"/>
        <w:spacing w:after="0" w:line="269" w:lineRule="auto"/>
        <w:tabs>
          <w:tab w:leader="none" w:pos="67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Statement Amendments</w:t>
      </w:r>
      <w:r>
        <w:rPr>
          <w:rFonts w:ascii="Times New Roman" w:cs="Times New Roman" w:eastAsia="Times New Roman" w:hAnsi="Times New Roman"/>
          <w:sz w:val="17"/>
          <w:szCs w:val="17"/>
          <w:color w:val="auto"/>
        </w:rPr>
        <w:t>. After the date of this Agreement and during any period in which a Prospectus relating to any Placement Shares is required to be delivered by Chardan under the Securities Act (including in circumstances where such requirement may be satisfied pursuant to Rule 172 under the Securities Act), (i) the Company will notify Chardan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Chardan’s request, any amendments or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440" w:right="379" w:bottom="1440" w:gutter="0" w:footer="0" w:header="0"/>
        </w:sectPr>
      </w:pPr>
    </w:p>
    <w:bookmarkStart w:id="18" w:name="page19"/>
    <w:bookmarkEnd w:id="18"/>
    <w:p>
      <w:pPr>
        <w:spacing w:after="0" w:line="6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supplements to the Registration Statement or Prospectus that, in Chardan’s reasonable opinion, may be necessary or advisable in connection with the distribution of the Placement Shares by Chardan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failure of Chardan to make such request shall not relieve the Company of any obligation or liability hereunder, or affect Chardan’s right to rely on the representations and warranties made by the Company in this Agreement); (iii) the Company will not file any amendment or supplement to the Registration Statement or Prospectus, other than documents incorporated by reference, relating to the Placement Shares or a security convertible into the Placement Shares unless a copy thereof has been submitted to Chardan within a reasonable period of time before the filing and Chardan has not reasonably objected thereto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failure of Chardan to make such objection shall not relieve the Company of any obligation or liability hereunder, or affect Chardan’s right to rely on the representations and warranties made by the Company in this Agreement) and the Company will furnish to Chardan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Chardan if at any time the Registration Statement shall no longer be effective as a result of the passage of time pursuant to Rule 415 under the Securities Act or otherwise. Prior to the initial sale of any Placement Shares, the Company shall file a final Prospectus Supplement pursuant to Rule 424(b) relating to the Placement Shares.</w:t>
      </w:r>
    </w:p>
    <w:p>
      <w:pPr>
        <w:spacing w:after="0" w:line="77" w:lineRule="exact"/>
        <w:rPr>
          <w:sz w:val="20"/>
          <w:szCs w:val="20"/>
          <w:color w:val="auto"/>
        </w:rPr>
      </w:pPr>
    </w:p>
    <w:p>
      <w:pPr>
        <w:ind w:right="140" w:firstLine="439"/>
        <w:spacing w:after="0" w:line="252" w:lineRule="auto"/>
        <w:tabs>
          <w:tab w:leader="none" w:pos="6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Chardan,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79" w:lineRule="exact"/>
        <w:rPr>
          <w:rFonts w:ascii="Times New Roman" w:cs="Times New Roman" w:eastAsia="Times New Roman" w:hAnsi="Times New Roman"/>
          <w:sz w:val="18"/>
          <w:szCs w:val="18"/>
          <w:color w:val="auto"/>
        </w:rPr>
      </w:pPr>
    </w:p>
    <w:p>
      <w:pPr>
        <w:ind w:firstLine="439"/>
        <w:spacing w:after="0" w:line="264" w:lineRule="auto"/>
        <w:tabs>
          <w:tab w:leader="none" w:pos="67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Prospectus; Subsequent Changes</w:t>
      </w:r>
      <w:r>
        <w:rPr>
          <w:rFonts w:ascii="Times New Roman" w:cs="Times New Roman" w:eastAsia="Times New Roman" w:hAnsi="Times New Roman"/>
          <w:sz w:val="17"/>
          <w:szCs w:val="17"/>
          <w:color w:val="auto"/>
        </w:rPr>
        <w:t>. During any period in which a Prospectus relating to the Placement Shares is required to be delivered by Chardan under the Securities Act with respect to a pending sale of the Placement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Chardan to suspend the offering of Placement Shares during such period and the Company will promptly amend or supplement the Registration Statement or Prospectus (at the expense of the Company) so as to correct such statement or omission or effect such compliance; provided that, the Company may delay the filing of any amendment or supplement, in its discretion, during which time of delay Chardan shall be under no obligation to make any sales of Placement Shares.</w:t>
      </w:r>
    </w:p>
    <w:p>
      <w:pPr>
        <w:spacing w:after="0" w:line="72" w:lineRule="exact"/>
        <w:rPr>
          <w:rFonts w:ascii="Times New Roman" w:cs="Times New Roman" w:eastAsia="Times New Roman" w:hAnsi="Times New Roman"/>
          <w:sz w:val="17"/>
          <w:szCs w:val="17"/>
          <w:color w:val="auto"/>
        </w:rPr>
      </w:pPr>
    </w:p>
    <w:p>
      <w:pPr>
        <w:ind w:right="40" w:firstLine="439"/>
        <w:spacing w:after="0" w:line="251" w:lineRule="auto"/>
        <w:tabs>
          <w:tab w:leader="none" w:pos="68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xml:space="preserve">. During any period in which the Prospectus relating to the Placement Shares is required to be delivered by Chardan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Chardan reasonably designates and to continue such qualifications in effect so long as required for the distribution of the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required in connection therewith to qualify as a foreign corporation or dealer in securities or file a general consent to service of process in any jurisdiction.</w:t>
      </w:r>
    </w:p>
    <w:p>
      <w:pPr>
        <w:spacing w:after="0" w:line="79" w:lineRule="exact"/>
        <w:rPr>
          <w:rFonts w:ascii="Times New Roman" w:cs="Times New Roman" w:eastAsia="Times New Roman" w:hAnsi="Times New Roman"/>
          <w:sz w:val="18"/>
          <w:szCs w:val="18"/>
          <w:color w:val="auto"/>
        </w:rPr>
      </w:pPr>
    </w:p>
    <w:p>
      <w:pPr>
        <w:ind w:right="60" w:firstLine="439"/>
        <w:spacing w:after="0" w:line="255" w:lineRule="auto"/>
        <w:tabs>
          <w:tab w:leader="none" w:pos="6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The Company will furnish to Chardan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40" w:right="359" w:bottom="1440" w:gutter="0" w:footer="0" w:header="0"/>
        </w:sectPr>
      </w:pPr>
    </w:p>
    <w:bookmarkStart w:id="19" w:name="page20"/>
    <w:bookmarkEnd w:id="19"/>
    <w:p>
      <w:pPr>
        <w:spacing w:after="0" w:line="6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period that are deemed to be incorporated by reference therein), in each case as soon as reasonably practicable and in such quantities as Chardan may from time to time reasonably request and, at Chardan’s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required to furnish any document (other than the Prospectus) to Chardan to the extent such document is available on EDGAR.</w:t>
      </w:r>
    </w:p>
    <w:p>
      <w:pPr>
        <w:spacing w:after="0" w:line="74" w:lineRule="exact"/>
        <w:rPr>
          <w:sz w:val="20"/>
          <w:szCs w:val="20"/>
          <w:color w:val="auto"/>
        </w:rPr>
      </w:pPr>
    </w:p>
    <w:p>
      <w:pPr>
        <w:ind w:right="220" w:firstLine="439"/>
        <w:spacing w:after="0" w:line="259" w:lineRule="auto"/>
        <w:tabs>
          <w:tab w:leader="none" w:pos="65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71" w:lineRule="exact"/>
        <w:rPr>
          <w:rFonts w:ascii="Times New Roman" w:cs="Times New Roman" w:eastAsia="Times New Roman" w:hAnsi="Times New Roman"/>
          <w:sz w:val="18"/>
          <w:szCs w:val="18"/>
          <w:color w:val="auto"/>
        </w:rPr>
      </w:pPr>
    </w:p>
    <w:p>
      <w:pPr>
        <w:ind w:right="160" w:firstLine="439"/>
        <w:spacing w:after="0" w:line="276" w:lineRule="auto"/>
        <w:tabs>
          <w:tab w:leader="none" w:pos="68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xml:space="preserve">. The Company, whether or not the transactions contemplated hereunder are consummated or this Agreement is terminated, in accordance with the provisions of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hereunder, will pay the following expenses all incident to the performance of its obligations hereunder, including, but not limited to, expenses relating to (i) the preparation, printing and filing of the Registration Statement and each amendment and supplement thereto, of each</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Prospectus and of each amendment and supplement thereto, (ii) the preparation, issuance and delivery of the Placement Shares and any taxes due or payable in connection therewith, (iii) the qualification of the Placement Shares under securities laws in accordance with the provisions of </w:t>
      </w:r>
      <w:r>
        <w:rPr>
          <w:rFonts w:ascii="Times New Roman" w:cs="Times New Roman" w:eastAsia="Times New Roman" w:hAnsi="Times New Roman"/>
          <w:sz w:val="17"/>
          <w:szCs w:val="17"/>
          <w:u w:val="single" w:color="auto"/>
          <w:color w:val="auto"/>
        </w:rPr>
        <w:t>Section 7(d)</w:t>
      </w:r>
      <w:r>
        <w:rPr>
          <w:rFonts w:ascii="Times New Roman" w:cs="Times New Roman" w:eastAsia="Times New Roman" w:hAnsi="Times New Roman"/>
          <w:sz w:val="17"/>
          <w:szCs w:val="17"/>
          <w:color w:val="auto"/>
        </w:rPr>
        <w:t xml:space="preserve"> of this Agreement, including filing fees (provided, however, that any fees or disbursements of counsel for Chardan in connection therewith shall be paid by Chardan except as set forth in (vii) below), (iv) the printing and delivery to Chardan of copies of the Prospectus and any amendments or supplements thereto, and of this Agreement,</w:t>
      </w:r>
    </w:p>
    <w:p>
      <w:pPr>
        <w:spacing w:after="0" w:line="1" w:lineRule="exact"/>
        <w:rPr>
          <w:sz w:val="20"/>
          <w:szCs w:val="20"/>
          <w:color w:val="auto"/>
        </w:rPr>
      </w:pPr>
    </w:p>
    <w:p>
      <w:pPr>
        <w:ind w:right="20" w:firstLine="6"/>
        <w:spacing w:after="0" w:line="246" w:lineRule="auto"/>
        <w:tabs>
          <w:tab w:leader="none" w:pos="2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fees and expenses incurred in connection with the listing or qualification of the Placement Shares for trading on Nasdaq, (vi) the filing fees and expenses, if any, of the Commission, (vii) the fees and expenses of any transfer agent or registrar for the Shares, (viii) the filing fees and associated legal expenses of Chardan’s outside counsel for filings with the FINRA Corporate Financing Department, such legal expense reimbursement not to exceed $25,000 and, (ix) the reasonable fees and disbursements of Chardan’s counsel in amounts not to exceed (A) $125,000 in connection with execution of this Agreement and the Company's delivery of the initial certificate pursuant to Section 7(m) and (B) $25,000 in connection with each Bring-Down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for which no Waiver is applicable.</w:t>
      </w:r>
    </w:p>
    <w:p>
      <w:pPr>
        <w:spacing w:after="0" w:line="85" w:lineRule="exact"/>
        <w:rPr>
          <w:rFonts w:ascii="Times New Roman" w:cs="Times New Roman" w:eastAsia="Times New Roman" w:hAnsi="Times New Roman"/>
          <w:sz w:val="18"/>
          <w:szCs w:val="18"/>
          <w:color w:val="auto"/>
        </w:rPr>
      </w:pPr>
    </w:p>
    <w:p>
      <w:pPr>
        <w:ind w:left="680" w:hanging="241"/>
        <w:spacing w:after="0"/>
        <w:tabs>
          <w:tab w:leader="none" w:pos="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The Company will use the Net Proceeds as described in the Prospectus in the section entitled “Use of Proceeds.”</w:t>
      </w:r>
    </w:p>
    <w:p>
      <w:pPr>
        <w:spacing w:after="0" w:line="111" w:lineRule="exact"/>
        <w:rPr>
          <w:rFonts w:ascii="Times New Roman" w:cs="Times New Roman" w:eastAsia="Times New Roman" w:hAnsi="Times New Roman"/>
          <w:sz w:val="18"/>
          <w:szCs w:val="18"/>
          <w:color w:val="auto"/>
        </w:rPr>
      </w:pPr>
    </w:p>
    <w:p>
      <w:pPr>
        <w:ind w:firstLine="439"/>
        <w:spacing w:after="0" w:line="265" w:lineRule="auto"/>
        <w:tabs>
          <w:tab w:leader="none" w:pos="644"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Other Sales</w:t>
      </w:r>
      <w:r>
        <w:rPr>
          <w:rFonts w:ascii="Times New Roman" w:cs="Times New Roman" w:eastAsia="Times New Roman" w:hAnsi="Times New Roman"/>
          <w:sz w:val="17"/>
          <w:szCs w:val="17"/>
          <w:color w:val="auto"/>
        </w:rPr>
        <w:t xml:space="preserve">. During the pendency of any Placement Notice given hereunder, and for 5 trading days following the termination of any Placement Notice given hereunder, the Company shall provide Chardan notice as promptly as reasonably practicable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notice shall not be required in connection with the (i) issuance, grant or sale of Common Stock, options to purchase shares of Common Stock or Common Stock issuable upon the exercise of options or other equity awards pursuant to any stock option, stock bonus or other stock plan or arrangement described in the Prospectus, as such may be amended, or similar plan adopted and approved by stockholders of the Company in the future, (ii) the issuance of securities in connection with an acquisition, merger or sale or purchase of assets, (iii) the issuance or sale of Common Stock pursuant to any dividend reinvestment plan that the Company may adopt from time to time provided the implementation of such is disclosed to Chardan in advance or (iv) any shares of common stock issuable upon the exchange, conversion or redemption of securities or the exercise of warrants, options or other rights in effect or outstanding.</w:t>
      </w:r>
    </w:p>
    <w:p>
      <w:pPr>
        <w:spacing w:after="0" w:line="67" w:lineRule="exact"/>
        <w:rPr>
          <w:rFonts w:ascii="Times New Roman" w:cs="Times New Roman" w:eastAsia="Times New Roman" w:hAnsi="Times New Roman"/>
          <w:sz w:val="17"/>
          <w:szCs w:val="17"/>
          <w:color w:val="auto"/>
        </w:rPr>
      </w:pPr>
    </w:p>
    <w:p>
      <w:pPr>
        <w:ind w:right="120" w:firstLine="439"/>
        <w:spacing w:after="0" w:line="259" w:lineRule="auto"/>
        <w:tabs>
          <w:tab w:leader="none" w:pos="64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 Notice or sell Placement Shares, advise Chardan promptly after it shall have received written notice or obtained knowledge thereof, of any information or fact that would alter or affect in any material respect any legal opinion or officer certificate provided to Chardan pursuant to this Agreement.</w:t>
      </w:r>
    </w:p>
    <w:p>
      <w:pPr>
        <w:spacing w:after="0" w:line="71" w:lineRule="exact"/>
        <w:rPr>
          <w:rFonts w:ascii="Times New Roman" w:cs="Times New Roman" w:eastAsia="Times New Roman" w:hAnsi="Times New Roman"/>
          <w:sz w:val="18"/>
          <w:szCs w:val="18"/>
          <w:color w:val="auto"/>
        </w:rPr>
      </w:pPr>
    </w:p>
    <w:p>
      <w:pPr>
        <w:ind w:firstLine="439"/>
        <w:spacing w:after="0" w:line="259" w:lineRule="auto"/>
        <w:tabs>
          <w:tab w:leader="none" w:pos="6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Chardan or its agents or counsel in connection with the transactions contemplated hereby, including, without limitation, providing information and making available documents and senior corporate officers, during regular business hours and at the Company’s principal offices, as Chardan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-2390140</wp:posOffset>
            </wp:positionV>
            <wp:extent cx="756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20" w:name="page21"/>
    <w:bookmarkEnd w:id="20"/>
    <w:p>
      <w:pPr>
        <w:spacing w:after="0" w:line="60" w:lineRule="exact"/>
        <w:rPr>
          <w:sz w:val="20"/>
          <w:szCs w:val="20"/>
          <w:color w:val="auto"/>
        </w:rPr>
      </w:pPr>
    </w:p>
    <w:p>
      <w:pPr>
        <w:ind w:right="60" w:firstLine="439"/>
        <w:spacing w:after="0" w:line="250" w:lineRule="auto"/>
        <w:tabs>
          <w:tab w:leader="none" w:pos="6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The Company agrees that on such dates as the Securities Act shall require, the Company will (i) file a prospectus supplement with the Commission under the applicable paragraph of Rule 424(b) under the Securities Act (each and every date of filing under Rule 424(b), a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and (ii) deliver such number of copies of each such prospectus supplement to each exchange or market on which such sales were effected as may be required by the rules or regulations of such exchange or market. The Company shall disclose in its quarterly reports on Form 10-Q and in its annual report on Form 10-K, the number of the Placement Shares sold through Chardan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w:t>
      </w:r>
    </w:p>
    <w:p>
      <w:pPr>
        <w:spacing w:after="0" w:line="80" w:lineRule="exact"/>
        <w:rPr>
          <w:rFonts w:ascii="Times New Roman" w:cs="Times New Roman" w:eastAsia="Times New Roman" w:hAnsi="Times New Roman"/>
          <w:sz w:val="18"/>
          <w:szCs w:val="18"/>
          <w:color w:val="auto"/>
        </w:rPr>
      </w:pPr>
    </w:p>
    <w:p>
      <w:pPr>
        <w:ind w:right="120" w:firstLine="439"/>
        <w:spacing w:after="0" w:line="266" w:lineRule="auto"/>
        <w:tabs>
          <w:tab w:leader="none" w:pos="73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Bring-Down Dates; Certificate</w:t>
      </w:r>
      <w:r>
        <w:rPr>
          <w:rFonts w:ascii="Times New Roman" w:cs="Times New Roman" w:eastAsia="Times New Roman" w:hAnsi="Times New Roman"/>
          <w:sz w:val="17"/>
          <w:szCs w:val="17"/>
          <w:color w:val="auto"/>
        </w:rPr>
        <w:t xml:space="preserve">.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w:t>
      </w:r>
      <w:r>
        <w:rPr>
          <w:rFonts w:ascii="Times New Roman" w:cs="Times New Roman" w:eastAsia="Times New Roman" w:hAnsi="Times New Roman"/>
          <w:sz w:val="17"/>
          <w:szCs w:val="17"/>
          <w:u w:val="single" w:color="auto"/>
          <w:color w:val="auto"/>
        </w:rPr>
        <w:t>Section 7(l)</w:t>
      </w:r>
      <w:r>
        <w:rPr>
          <w:rFonts w:ascii="Times New Roman" w:cs="Times New Roman" w:eastAsia="Times New Roman" w:hAnsi="Times New Roman"/>
          <w:sz w:val="17"/>
          <w:szCs w:val="17"/>
          <w:color w:val="auto"/>
        </w:rPr>
        <w:t xml:space="preserve"> of this Agreement) by means of a post-effective amendment, sticker, or supplement but not by means of incorporation of document(s) by reference to the Registration Statement or the Prospectus relating to the Placement Shares; (ii) the Company files an annual report on Form</w:t>
      </w:r>
    </w:p>
    <w:p>
      <w:pPr>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10-K under the Exchange Act; (iii) the Company files its quarterly reports on Form 10-Q under the Exchange Act; or (iv) the Company files a report on Form 8-K containing amended financial information (other than an earnings release) under the Exchange Act (each date of filing of one or more of the documents referred to in clauses (i) through (iv) shall be a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Bring-Down Date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Company shall furnish Chardan with a certificate, in the form attached hereto as </w:t>
      </w:r>
      <w:r>
        <w:rPr>
          <w:rFonts w:ascii="Times New Roman" w:cs="Times New Roman" w:eastAsia="Times New Roman" w:hAnsi="Times New Roman"/>
          <w:sz w:val="17"/>
          <w:szCs w:val="17"/>
          <w:u w:val="single" w:color="auto"/>
          <w:color w:val="auto"/>
        </w:rPr>
        <w:t>Exhibit 7(m)</w:t>
      </w:r>
      <w:r>
        <w:rPr>
          <w:rFonts w:ascii="Times New Roman" w:cs="Times New Roman" w:eastAsia="Times New Roman" w:hAnsi="Times New Roman"/>
          <w:sz w:val="17"/>
          <w:szCs w:val="17"/>
          <w:color w:val="auto"/>
        </w:rPr>
        <w:t xml:space="preserve"> within one (1) Trading Day of any Bring-Down Date (or such other date mutually agreed in writing) if requested by Chardan. The requirement to provide a certificate under this </w:t>
      </w:r>
      <w:r>
        <w:rPr>
          <w:rFonts w:ascii="Times New Roman" w:cs="Times New Roman" w:eastAsia="Times New Roman" w:hAnsi="Times New Roman"/>
          <w:sz w:val="17"/>
          <w:szCs w:val="17"/>
          <w:u w:val="single" w:color="auto"/>
          <w:color w:val="auto"/>
        </w:rPr>
        <w:t>Section 7(m)</w:t>
      </w:r>
      <w:r>
        <w:rPr>
          <w:rFonts w:ascii="Times New Roman" w:cs="Times New Roman" w:eastAsia="Times New Roman" w:hAnsi="Times New Roman"/>
          <w:sz w:val="17"/>
          <w:szCs w:val="17"/>
          <w:color w:val="auto"/>
        </w:rPr>
        <w:t xml:space="preserve"> shall be waived for any Bring-Down Date occurring at a time at which no Placement Notice is pending or Placement Notice is suspended pursuant to the </w:t>
      </w:r>
      <w:r>
        <w:rPr>
          <w:rFonts w:ascii="Times New Roman" w:cs="Times New Roman" w:eastAsia="Times New Roman" w:hAnsi="Times New Roman"/>
          <w:sz w:val="17"/>
          <w:szCs w:val="17"/>
          <w:u w:val="single" w:color="auto"/>
          <w:color w:val="auto"/>
        </w:rPr>
        <w:t>Section 4(a)</w:t>
      </w:r>
      <w:r>
        <w:rPr>
          <w:rFonts w:ascii="Times New Roman" w:cs="Times New Roman" w:eastAsia="Times New Roman" w:hAnsi="Times New Roman"/>
          <w:sz w:val="17"/>
          <w:szCs w:val="17"/>
          <w:color w:val="auto"/>
        </w:rPr>
        <w:t>, which waiver (a “</w:t>
      </w:r>
      <w:r>
        <w:rPr>
          <w:rFonts w:ascii="Times New Roman" w:cs="Times New Roman" w:eastAsia="Times New Roman" w:hAnsi="Times New Roman"/>
          <w:sz w:val="17"/>
          <w:szCs w:val="17"/>
          <w:b w:val="1"/>
          <w:bCs w:val="1"/>
          <w:u w:val="single" w:color="auto"/>
          <w:color w:val="auto"/>
        </w:rPr>
        <w:t>Waiver</w:t>
      </w:r>
      <w:r>
        <w:rPr>
          <w:rFonts w:ascii="Times New Roman" w:cs="Times New Roman" w:eastAsia="Times New Roman" w:hAnsi="Times New Roman"/>
          <w:sz w:val="17"/>
          <w:szCs w:val="17"/>
          <w:color w:val="auto"/>
        </w:rPr>
        <w:t xml:space="preserve">”) shall continue until the earlier to occur of the date the Company delivers a Placement Notice hereunder (which for such calendar quarter shall be considered a Bring-Down Date) and the next occurring Bring-Down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such Waiver shall not apply for any Bring-Down Date on which the Company files its annual report on Form 10-K. Notwithstanding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foregoing, if the Company subsequently decides to sell Placement Shares following a Bring-Down Date when the Company relied on such Waiver and did not provide Chardan with a certificate under this </w:t>
      </w:r>
      <w:r>
        <w:rPr>
          <w:rFonts w:ascii="Times New Roman" w:cs="Times New Roman" w:eastAsia="Times New Roman" w:hAnsi="Times New Roman"/>
          <w:sz w:val="17"/>
          <w:szCs w:val="17"/>
          <w:u w:val="single" w:color="auto"/>
          <w:color w:val="auto"/>
        </w:rPr>
        <w:t>Section 7(m)</w:t>
      </w:r>
      <w:r>
        <w:rPr>
          <w:rFonts w:ascii="Times New Roman" w:cs="Times New Roman" w:eastAsia="Times New Roman" w:hAnsi="Times New Roman"/>
          <w:sz w:val="17"/>
          <w:szCs w:val="17"/>
          <w:color w:val="auto"/>
        </w:rPr>
        <w:t xml:space="preserve">, then before the Company delivers the Placement Notice or Chardan sells any Placement Shares, the Company shall provide Chardan with a certificate, in the form attached hereto as </w:t>
      </w:r>
      <w:r>
        <w:rPr>
          <w:rFonts w:ascii="Times New Roman" w:cs="Times New Roman" w:eastAsia="Times New Roman" w:hAnsi="Times New Roman"/>
          <w:sz w:val="17"/>
          <w:szCs w:val="17"/>
          <w:u w:val="single" w:color="auto"/>
          <w:color w:val="auto"/>
        </w:rPr>
        <w:t>Exhibit 7(m)</w:t>
      </w:r>
      <w:r>
        <w:rPr>
          <w:rFonts w:ascii="Times New Roman" w:cs="Times New Roman" w:eastAsia="Times New Roman" w:hAnsi="Times New Roman"/>
          <w:sz w:val="17"/>
          <w:szCs w:val="17"/>
          <w:color w:val="auto"/>
        </w:rPr>
        <w:t>, dated the date of the Placement Notice.</w:t>
      </w:r>
    </w:p>
    <w:p>
      <w:pPr>
        <w:spacing w:after="0" w:line="71" w:lineRule="exact"/>
        <w:rPr>
          <w:rFonts w:ascii="Times New Roman" w:cs="Times New Roman" w:eastAsia="Times New Roman" w:hAnsi="Times New Roman"/>
          <w:sz w:val="17"/>
          <w:szCs w:val="17"/>
          <w:color w:val="auto"/>
        </w:rPr>
      </w:pPr>
    </w:p>
    <w:p>
      <w:pPr>
        <w:ind w:firstLine="439"/>
        <w:spacing w:after="0" w:line="272" w:lineRule="auto"/>
        <w:tabs>
          <w:tab w:leader="none" w:pos="68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Legal Opinion</w:t>
      </w:r>
      <w:r>
        <w:rPr>
          <w:rFonts w:ascii="Times New Roman" w:cs="Times New Roman" w:eastAsia="Times New Roman" w:hAnsi="Times New Roman"/>
          <w:sz w:val="17"/>
          <w:szCs w:val="17"/>
          <w:color w:val="auto"/>
        </w:rPr>
        <w:t xml:space="preserve">. On or prior to the First Delivery Date and within one (1) Trading Day of each Bring-Down Date (or such other date mutually agreed in writing) with respect to which the Company is obligated to deliver a certificate in the form attached hereto as </w:t>
      </w:r>
      <w:r>
        <w:rPr>
          <w:rFonts w:ascii="Times New Roman" w:cs="Times New Roman" w:eastAsia="Times New Roman" w:hAnsi="Times New Roman"/>
          <w:sz w:val="17"/>
          <w:szCs w:val="17"/>
          <w:u w:val="single" w:color="auto"/>
          <w:color w:val="auto"/>
        </w:rPr>
        <w:t>Exhibit 7(m)</w:t>
      </w:r>
      <w:r>
        <w:rPr>
          <w:rFonts w:ascii="Times New Roman" w:cs="Times New Roman" w:eastAsia="Times New Roman" w:hAnsi="Times New Roman"/>
          <w:sz w:val="17"/>
          <w:szCs w:val="17"/>
          <w:color w:val="auto"/>
        </w:rPr>
        <w:t xml:space="preserve"> for which no Waiver is applicable, the Company shall cause to be furnished to Chardan a written opinion of Holland &amp; Hart LLP (“</w:t>
      </w:r>
      <w:r>
        <w:rPr>
          <w:rFonts w:ascii="Times New Roman" w:cs="Times New Roman" w:eastAsia="Times New Roman" w:hAnsi="Times New Roman"/>
          <w:sz w:val="17"/>
          <w:szCs w:val="17"/>
          <w:u w:val="single" w:color="auto"/>
          <w:color w:val="auto"/>
        </w:rPr>
        <w:t>Company Counsel</w:t>
      </w:r>
      <w:r>
        <w:rPr>
          <w:rFonts w:ascii="Times New Roman" w:cs="Times New Roman" w:eastAsia="Times New Roman" w:hAnsi="Times New Roman"/>
          <w:sz w:val="17"/>
          <w:szCs w:val="17"/>
          <w:color w:val="auto"/>
        </w:rPr>
        <w:t>”) or other counsel satisfactory to Chardan, in form and substance satisfactory to Chardan and its counsel, dated the date that the opinion is required to be delivered, modified, as necessary, to</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relate to the Registration Statement and the Prospectus as then amended or supplemented, which opinion shall include customary negative assurance with respect to the Registration Statement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opinion for subsequent Bring-Down Dates, Company Counsel may furnish Chardan with a letter (a “</w:t>
      </w:r>
      <w:r>
        <w:rPr>
          <w:rFonts w:ascii="Times New Roman" w:cs="Times New Roman" w:eastAsia="Times New Roman" w:hAnsi="Times New Roman"/>
          <w:sz w:val="18"/>
          <w:szCs w:val="18"/>
          <w:b w:val="1"/>
          <w:bCs w:val="1"/>
          <w:u w:val="single" w:color="auto"/>
          <w:color w:val="auto"/>
        </w:rPr>
        <w:t>Reliance Letter</w:t>
      </w:r>
      <w:r>
        <w:rPr>
          <w:rFonts w:ascii="Times New Roman" w:cs="Times New Roman" w:eastAsia="Times New Roman" w:hAnsi="Times New Roman"/>
          <w:sz w:val="18"/>
          <w:szCs w:val="18"/>
          <w:color w:val="auto"/>
        </w:rPr>
        <w:t xml:space="preserve">”) to the effect that Chardan may rely on a prior opinion delivered under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to the same extent as if it were dated the date of such letter (except that statements in such prior opinion shall be deemed to relate to the Registration Statement and the Prospectus as amended or supplemented at such Bring-Down Date).</w:t>
      </w:r>
    </w:p>
    <w:p>
      <w:pPr>
        <w:spacing w:after="0" w:line="79" w:lineRule="exact"/>
        <w:rPr>
          <w:sz w:val="20"/>
          <w:szCs w:val="20"/>
          <w:color w:val="auto"/>
        </w:rPr>
      </w:pPr>
    </w:p>
    <w:p>
      <w:pPr>
        <w:ind w:right="40" w:firstLine="439"/>
        <w:spacing w:after="0" w:line="250" w:lineRule="auto"/>
        <w:tabs>
          <w:tab w:leader="none" w:pos="6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On or prior to the First Delivery Date and within one (1) Trading Day of each Bring-Down Date (or such other date mutually agreed in writing) with respect to which the Company is obligated to deliver a certificate in the form attached hereto as </w:t>
      </w:r>
      <w:r>
        <w:rPr>
          <w:rFonts w:ascii="Times New Roman" w:cs="Times New Roman" w:eastAsia="Times New Roman" w:hAnsi="Times New Roman"/>
          <w:sz w:val="18"/>
          <w:szCs w:val="18"/>
          <w:u w:val="single" w:color="auto"/>
          <w:color w:val="auto"/>
        </w:rPr>
        <w:t>Exhibit 7(m)</w:t>
      </w:r>
      <w:r>
        <w:rPr>
          <w:rFonts w:ascii="Times New Roman" w:cs="Times New Roman" w:eastAsia="Times New Roman" w:hAnsi="Times New Roman"/>
          <w:sz w:val="18"/>
          <w:szCs w:val="18"/>
          <w:color w:val="auto"/>
        </w:rPr>
        <w:t xml:space="preserve"> for which no Waiver is applicable, the Company shall cause its independent accountants to furnish Chardan letters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Comfort Letters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dated the date the Comfort Letter is delivered, in form and substance satisfactory to Chardan,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Chardan in connection with registered public offerings (the first such letter,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Comfort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(iii) updating the Initial Comfort Letter with any information that would have been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40" w:right="359" w:bottom="1440" w:gutter="0" w:footer="0" w:header="0"/>
        </w:sectPr>
      </w:pPr>
    </w:p>
    <w:bookmarkStart w:id="21" w:name="page22"/>
    <w:bookmarkEnd w:id="21"/>
    <w:p>
      <w:pPr>
        <w:spacing w:after="0" w:line="60"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included in the Initial Comfort Letter had it been given on such date and modified as necessary to relate to the Registration Statement and the Prospectus, as amended and supplemented to the date of such letter.</w:t>
      </w:r>
    </w:p>
    <w:p>
      <w:pPr>
        <w:spacing w:after="0" w:line="57" w:lineRule="exact"/>
        <w:rPr>
          <w:sz w:val="20"/>
          <w:szCs w:val="20"/>
          <w:color w:val="auto"/>
        </w:rPr>
      </w:pPr>
    </w:p>
    <w:p>
      <w:pPr>
        <w:ind w:right="140" w:firstLine="439"/>
        <w:spacing w:after="0" w:line="252" w:lineRule="auto"/>
        <w:tabs>
          <w:tab w:leader="none" w:pos="68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Chardan; provided, however, that the Company may bid for and purchase shares of its common stock in accordance with Rule 10b-18 under the Exchange Act.</w:t>
      </w:r>
    </w:p>
    <w:p>
      <w:pPr>
        <w:spacing w:after="0" w:line="79" w:lineRule="exact"/>
        <w:rPr>
          <w:rFonts w:ascii="Times New Roman" w:cs="Times New Roman" w:eastAsia="Times New Roman" w:hAnsi="Times New Roman"/>
          <w:sz w:val="18"/>
          <w:szCs w:val="18"/>
          <w:color w:val="auto"/>
        </w:rPr>
      </w:pPr>
    </w:p>
    <w:p>
      <w:pPr>
        <w:ind w:right="440" w:firstLine="439"/>
        <w:spacing w:after="0" w:line="274" w:lineRule="auto"/>
        <w:tabs>
          <w:tab w:leader="none" w:pos="68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its subsidiaries shall maintain, or cause to be maintained, insurance in such amounts and covering such risks as is reasonable and customary for the business for which it is engaged.</w:t>
      </w:r>
    </w:p>
    <w:p>
      <w:pPr>
        <w:spacing w:after="0" w:line="57" w:lineRule="exact"/>
        <w:rPr>
          <w:rFonts w:ascii="Times New Roman" w:cs="Times New Roman" w:eastAsia="Times New Roman" w:hAnsi="Times New Roman"/>
          <w:sz w:val="18"/>
          <w:szCs w:val="18"/>
          <w:color w:val="auto"/>
        </w:rPr>
      </w:pPr>
    </w:p>
    <w:p>
      <w:pPr>
        <w:ind w:firstLine="439"/>
        <w:spacing w:after="0" w:line="252" w:lineRule="auto"/>
        <w:tabs>
          <w:tab w:leader="none" w:pos="6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w:t>
      </w:r>
    </w:p>
    <w:p>
      <w:pPr>
        <w:spacing w:after="0" w:line="79" w:lineRule="exact"/>
        <w:rPr>
          <w:rFonts w:ascii="Times New Roman" w:cs="Times New Roman" w:eastAsia="Times New Roman" w:hAnsi="Times New Roman"/>
          <w:sz w:val="18"/>
          <w:szCs w:val="18"/>
          <w:color w:val="auto"/>
        </w:rPr>
      </w:pPr>
    </w:p>
    <w:p>
      <w:pPr>
        <w:ind w:right="20" w:firstLine="439"/>
        <w:spacing w:after="0" w:line="259" w:lineRule="auto"/>
        <w:tabs>
          <w:tab w:leader="none" w:pos="6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71" w:lineRule="exact"/>
        <w:rPr>
          <w:rFonts w:ascii="Times New Roman" w:cs="Times New Roman" w:eastAsia="Times New Roman" w:hAnsi="Times New Roman"/>
          <w:sz w:val="18"/>
          <w:szCs w:val="18"/>
          <w:color w:val="auto"/>
        </w:rPr>
      </w:pPr>
    </w:p>
    <w:p>
      <w:pPr>
        <w:ind w:right="60" w:firstLine="439"/>
        <w:spacing w:after="0" w:line="259"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w:t>
      </w:r>
      <w:r>
        <w:rPr>
          <w:rFonts w:ascii="Times New Roman" w:cs="Times New Roman" w:eastAsia="Times New Roman" w:hAnsi="Times New Roman"/>
          <w:sz w:val="18"/>
          <w:szCs w:val="18"/>
          <w:color w:val="auto"/>
        </w:rPr>
        <w:t>. The Company will use its best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w:t>
      </w:r>
    </w:p>
    <w:p>
      <w:pPr>
        <w:spacing w:after="0" w:line="71" w:lineRule="exact"/>
        <w:rPr>
          <w:rFonts w:ascii="Times New Roman" w:cs="Times New Roman" w:eastAsia="Times New Roman" w:hAnsi="Times New Roman"/>
          <w:sz w:val="18"/>
          <w:szCs w:val="18"/>
          <w:color w:val="auto"/>
        </w:rPr>
      </w:pPr>
    </w:p>
    <w:p>
      <w:pPr>
        <w:ind w:right="140" w:firstLine="439"/>
        <w:spacing w:after="0" w:line="282" w:lineRule="auto"/>
        <w:tabs>
          <w:tab w:leader="none" w:pos="68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Offer to Sell</w:t>
      </w:r>
      <w:r>
        <w:rPr>
          <w:rFonts w:ascii="Times New Roman" w:cs="Times New Roman" w:eastAsia="Times New Roman" w:hAnsi="Times New Roman"/>
          <w:sz w:val="17"/>
          <w:szCs w:val="17"/>
          <w:color w:val="auto"/>
        </w:rPr>
        <w:t>. Other than a Permitted Free Writing Prospectus, neither Chardan nor the Company (including its agents and representatives, other than Chardan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w:t>
      </w:r>
    </w:p>
    <w:p>
      <w:pPr>
        <w:spacing w:after="0" w:line="52" w:lineRule="exact"/>
        <w:rPr>
          <w:rFonts w:ascii="Times New Roman" w:cs="Times New Roman" w:eastAsia="Times New Roman" w:hAnsi="Times New Roman"/>
          <w:sz w:val="17"/>
          <w:szCs w:val="17"/>
          <w:color w:val="auto"/>
        </w:rPr>
      </w:pPr>
    </w:p>
    <w:p>
      <w:pPr>
        <w:ind w:right="120" w:firstLine="439"/>
        <w:spacing w:after="0" w:line="274" w:lineRule="auto"/>
        <w:tabs>
          <w:tab w:leader="none" w:pos="68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and its subsidiaries will use their best efforts to comply with all effective applicable provisions of the Sarbanes-Oxley Act.</w:t>
      </w:r>
    </w:p>
    <w:p>
      <w:pPr>
        <w:spacing w:after="0" w:line="57" w:lineRule="exact"/>
        <w:rPr>
          <w:rFonts w:ascii="Times New Roman" w:cs="Times New Roman" w:eastAsia="Times New Roman" w:hAnsi="Times New Roman"/>
          <w:sz w:val="18"/>
          <w:szCs w:val="18"/>
          <w:color w:val="auto"/>
        </w:rPr>
      </w:pPr>
    </w:p>
    <w:p>
      <w:pPr>
        <w:ind w:right="180" w:firstLine="439"/>
        <w:spacing w:after="0" w:line="271" w:lineRule="auto"/>
        <w:tabs>
          <w:tab w:leader="none" w:pos="72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Affirmation</w:t>
      </w:r>
      <w:r>
        <w:rPr>
          <w:rFonts w:ascii="Times New Roman" w:cs="Times New Roman" w:eastAsia="Times New Roman" w:hAnsi="Times New Roman"/>
          <w:sz w:val="17"/>
          <w:szCs w:val="17"/>
          <w:color w:val="auto"/>
        </w:rPr>
        <w:t>. Each Placement Notice delivered by the Company to Chardan shall be deemed to be (i) an affirmation that the representations, warranties and agreements of the Company herein contained and contained in any certificate delivered to Chardan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w:t>
      </w:r>
    </w:p>
    <w:p>
      <w:pPr>
        <w:spacing w:after="0" w:line="60" w:lineRule="exact"/>
        <w:rPr>
          <w:rFonts w:ascii="Times New Roman" w:cs="Times New Roman" w:eastAsia="Times New Roman" w:hAnsi="Times New Roman"/>
          <w:sz w:val="17"/>
          <w:szCs w:val="17"/>
          <w:color w:val="auto"/>
        </w:rPr>
      </w:pPr>
    </w:p>
    <w:p>
      <w:pPr>
        <w:ind w:right="60" w:firstLine="439"/>
        <w:spacing w:after="0" w:line="250" w:lineRule="auto"/>
        <w:tabs>
          <w:tab w:leader="none" w:pos="68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Renewal</w:t>
      </w:r>
      <w:r>
        <w:rPr>
          <w:rFonts w:ascii="Times New Roman" w:cs="Times New Roman" w:eastAsia="Times New Roman" w:hAnsi="Times New Roman"/>
          <w:sz w:val="18"/>
          <w:szCs w:val="18"/>
          <w:color w:val="auto"/>
        </w:rPr>
        <w:t>. If immediately prior to the third anniversary (the “</w:t>
      </w:r>
      <w:r>
        <w:rPr>
          <w:rFonts w:ascii="Times New Roman" w:cs="Times New Roman" w:eastAsia="Times New Roman" w:hAnsi="Times New Roman"/>
          <w:sz w:val="18"/>
          <w:szCs w:val="18"/>
          <w:b w:val="1"/>
          <w:bCs w:val="1"/>
          <w:u w:val="single" w:color="auto"/>
          <w:color w:val="auto"/>
        </w:rPr>
        <w:t>Renewal Deadline</w:t>
      </w:r>
      <w:r>
        <w:rPr>
          <w:rFonts w:ascii="Times New Roman" w:cs="Times New Roman" w:eastAsia="Times New Roman" w:hAnsi="Times New Roman"/>
          <w:sz w:val="18"/>
          <w:szCs w:val="18"/>
          <w:color w:val="auto"/>
        </w:rPr>
        <w:t>”)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satisfactory to Chardan, and, if not automatically effective, will use its commercially reasonable efforts to cause such registration statement to be declared effective within 60 days after the Renewal Deadline.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2" w:name="page23"/>
    <w:bookmarkEnd w:id="22"/>
    <w:p>
      <w:pPr>
        <w:spacing w:after="0" w:line="60" w:lineRule="exact"/>
        <w:rPr>
          <w:sz w:val="20"/>
          <w:szCs w:val="20"/>
          <w:color w:val="auto"/>
        </w:rPr>
      </w:pPr>
    </w:p>
    <w:p>
      <w:pPr>
        <w:ind w:left="-6" w:right="340" w:firstLine="439"/>
        <w:spacing w:after="0" w:line="274" w:lineRule="auto"/>
        <w:tabs>
          <w:tab w:leader="none" w:pos="60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to Chardan’s Obligations</w:t>
      </w:r>
      <w:r>
        <w:rPr>
          <w:rFonts w:ascii="Times New Roman" w:cs="Times New Roman" w:eastAsia="Times New Roman" w:hAnsi="Times New Roman"/>
          <w:sz w:val="17"/>
          <w:szCs w:val="17"/>
          <w:color w:val="auto"/>
        </w:rPr>
        <w:t>. The obligations of Chardan hereunder with respect to a Placement Notice will be subject to the continuing accuracy and completeness of the representations and warranties made by the Company herein, to the due performance by the Company of its obligations hereunder and thereunder, to the completion by Chardan and its counsel of a due diligence review satisfactory to Chardan and its counsel in its reasonable judgment, and to the continuing satisfaction (or waiver by Chardan in its sole discretion) of the following additional conditions:</w:t>
      </w:r>
    </w:p>
    <w:p>
      <w:pPr>
        <w:spacing w:after="0" w:line="61" w:lineRule="exact"/>
        <w:rPr>
          <w:sz w:val="20"/>
          <w:szCs w:val="20"/>
          <w:color w:val="auto"/>
        </w:rPr>
      </w:pPr>
    </w:p>
    <w:p>
      <w:pPr>
        <w:ind w:left="-6" w:right="360" w:firstLine="439"/>
        <w:spacing w:after="0" w:line="274" w:lineRule="auto"/>
        <w:tabs>
          <w:tab w:leader="none" w:pos="66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be effective and shall be available for (i) all sales of Placement Shares issued pursuant to all prior Placement Notices and (ii) the sale of all Placement Shares contemplated to be issued pursuant to any Placement Notice.</w:t>
      </w:r>
    </w:p>
    <w:p>
      <w:pPr>
        <w:spacing w:after="0" w:line="57" w:lineRule="exact"/>
        <w:rPr>
          <w:rFonts w:ascii="Times New Roman" w:cs="Times New Roman" w:eastAsia="Times New Roman" w:hAnsi="Times New Roman"/>
          <w:sz w:val="18"/>
          <w:szCs w:val="18"/>
          <w:color w:val="auto"/>
        </w:rPr>
      </w:pPr>
    </w:p>
    <w:p>
      <w:pPr>
        <w:ind w:left="-6" w:right="180" w:firstLine="439"/>
        <w:spacing w:after="0" w:line="268" w:lineRule="auto"/>
        <w:tabs>
          <w:tab w:leader="none" w:pos="67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Material Notices</w:t>
      </w:r>
      <w:r>
        <w:rPr>
          <w:rFonts w:ascii="Times New Roman" w:cs="Times New Roman" w:eastAsia="Times New Roman" w:hAnsi="Times New Roman"/>
          <w:sz w:val="17"/>
          <w:szCs w:val="17"/>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w:t>
      </w:r>
    </w:p>
    <w:p>
      <w:pPr>
        <w:ind w:left="-6" w:firstLine="6"/>
        <w:spacing w:after="0" w:line="246" w:lineRule="auto"/>
        <w:tabs>
          <w:tab w:leader="none" w:pos="2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85" w:lineRule="exact"/>
        <w:rPr>
          <w:rFonts w:ascii="Times New Roman" w:cs="Times New Roman" w:eastAsia="Times New Roman" w:hAnsi="Times New Roman"/>
          <w:sz w:val="18"/>
          <w:szCs w:val="18"/>
          <w:color w:val="auto"/>
        </w:rPr>
      </w:pPr>
    </w:p>
    <w:p>
      <w:pPr>
        <w:ind w:left="-6" w:right="640" w:firstLine="439"/>
        <w:spacing w:after="0" w:line="259" w:lineRule="auto"/>
        <w:tabs>
          <w:tab w:leader="none" w:pos="66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Chardan shall not have advised the Company that the Registration Statement or Prospectus, or any amendment or supplement thereto, contains an untrue statement of fact that in Chardan’s reasonable opinion is material, or omits to state a fact that in Chardan’s opinion is material and is required to be stated therein or is necessary to make the statements therein not misleading.</w:t>
      </w:r>
    </w:p>
    <w:p>
      <w:pPr>
        <w:spacing w:after="0" w:line="71" w:lineRule="exact"/>
        <w:rPr>
          <w:rFonts w:ascii="Times New Roman" w:cs="Times New Roman" w:eastAsia="Times New Roman" w:hAnsi="Times New Roman"/>
          <w:sz w:val="18"/>
          <w:szCs w:val="18"/>
          <w:color w:val="auto"/>
        </w:rPr>
      </w:pPr>
    </w:p>
    <w:p>
      <w:pPr>
        <w:ind w:left="-6" w:right="40" w:firstLine="439"/>
        <w:spacing w:after="0" w:line="249" w:lineRule="auto"/>
        <w:tabs>
          <w:tab w:leader="none" w:pos="67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Chardan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84" w:lineRule="exact"/>
        <w:rPr>
          <w:rFonts w:ascii="Times New Roman" w:cs="Times New Roman" w:eastAsia="Times New Roman" w:hAnsi="Times New Roman"/>
          <w:sz w:val="18"/>
          <w:szCs w:val="18"/>
          <w:color w:val="auto"/>
        </w:rPr>
      </w:pPr>
    </w:p>
    <w:p>
      <w:pPr>
        <w:ind w:left="-6" w:firstLine="439"/>
        <w:spacing w:after="0" w:line="274" w:lineRule="auto"/>
        <w:tabs>
          <w:tab w:leader="none" w:pos="66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w:t>
      </w:r>
      <w:r>
        <w:rPr>
          <w:rFonts w:ascii="Times New Roman" w:cs="Times New Roman" w:eastAsia="Times New Roman" w:hAnsi="Times New Roman"/>
          <w:sz w:val="18"/>
          <w:szCs w:val="18"/>
          <w:color w:val="auto"/>
        </w:rPr>
        <w:t xml:space="preserve">. Chardan shall have received the opinion of Company Counsel required to be delivered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dates on which such delivery of such opinion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57" w:lineRule="exact"/>
        <w:rPr>
          <w:rFonts w:ascii="Times New Roman" w:cs="Times New Roman" w:eastAsia="Times New Roman" w:hAnsi="Times New Roman"/>
          <w:sz w:val="18"/>
          <w:szCs w:val="18"/>
          <w:color w:val="auto"/>
        </w:rPr>
      </w:pPr>
    </w:p>
    <w:p>
      <w:pPr>
        <w:ind w:left="-6" w:right="140" w:firstLine="439"/>
        <w:spacing w:after="0" w:line="282" w:lineRule="auto"/>
        <w:tabs>
          <w:tab w:leader="none" w:pos="647"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Chardan Counsel Legal Opinion</w:t>
      </w:r>
      <w:r>
        <w:rPr>
          <w:rFonts w:ascii="Times New Roman" w:cs="Times New Roman" w:eastAsia="Times New Roman" w:hAnsi="Times New Roman"/>
          <w:sz w:val="17"/>
          <w:szCs w:val="17"/>
          <w:color w:val="auto"/>
        </w:rPr>
        <w:t xml:space="preserve">. Chardan shall have received from Lucosky Brookman LLP, counsel for Chardan, such opinion or opinions, on or before the dates on which the delivery of the Company Counsel legal opinion is required pursuant to </w:t>
      </w:r>
      <w:r>
        <w:rPr>
          <w:rFonts w:ascii="Times New Roman" w:cs="Times New Roman" w:eastAsia="Times New Roman" w:hAnsi="Times New Roman"/>
          <w:sz w:val="17"/>
          <w:szCs w:val="17"/>
          <w:u w:val="single" w:color="auto"/>
          <w:color w:val="auto"/>
        </w:rPr>
        <w:t>Section 7(n)</w:t>
      </w:r>
      <w:r>
        <w:rPr>
          <w:rFonts w:ascii="Times New Roman" w:cs="Times New Roman" w:eastAsia="Times New Roman" w:hAnsi="Times New Roman"/>
          <w:sz w:val="17"/>
          <w:szCs w:val="17"/>
          <w:color w:val="auto"/>
        </w:rPr>
        <w:t>, with respect to such matters as Chardan may reasonably require, and the Company shall have furnished to such counsel such documents as they request for enabling them to pass upon such matters.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14"/>
          </w:cols>
          <w:pgMar w:left="326" w:top="1440" w:right="359" w:bottom="1440" w:gutter="0" w:footer="0" w:header="0"/>
        </w:sectPr>
      </w:pPr>
    </w:p>
    <w:bookmarkStart w:id="23" w:name="page24"/>
    <w:bookmarkEnd w:id="23"/>
    <w:p>
      <w:pPr>
        <w:spacing w:after="0" w:line="60" w:lineRule="exact"/>
        <w:rPr>
          <w:sz w:val="20"/>
          <w:szCs w:val="20"/>
          <w:color w:val="auto"/>
        </w:rPr>
      </w:pPr>
    </w:p>
    <w:p>
      <w:pPr>
        <w:ind w:left="-20" w:right="300" w:firstLine="439"/>
        <w:spacing w:after="0" w:line="274" w:lineRule="auto"/>
        <w:tabs>
          <w:tab w:leader="none" w:pos="6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Chardan shall have received the Comfort Letter required to be delivered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on or before the dates on which such delivery of such Comfort Letter is required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w:t>
      </w:r>
    </w:p>
    <w:p>
      <w:pPr>
        <w:spacing w:after="0" w:line="57" w:lineRule="exact"/>
        <w:rPr>
          <w:rFonts w:ascii="Times New Roman" w:cs="Times New Roman" w:eastAsia="Times New Roman" w:hAnsi="Times New Roman"/>
          <w:sz w:val="18"/>
          <w:szCs w:val="18"/>
          <w:color w:val="auto"/>
        </w:rPr>
      </w:pPr>
    </w:p>
    <w:p>
      <w:pPr>
        <w:ind w:left="-20" w:right="300" w:firstLine="439"/>
        <w:spacing w:after="0" w:line="274" w:lineRule="auto"/>
        <w:tabs>
          <w:tab w:leader="none" w:pos="6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Chardan shall have received the certificate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dates on which delivery of such certificate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97" w:lineRule="exact"/>
        <w:rPr>
          <w:rFonts w:ascii="Times New Roman" w:cs="Times New Roman" w:eastAsia="Times New Roman" w:hAnsi="Times New Roman"/>
          <w:sz w:val="18"/>
          <w:szCs w:val="18"/>
          <w:color w:val="auto"/>
        </w:rPr>
      </w:pPr>
    </w:p>
    <w:p>
      <w:pPr>
        <w:ind w:left="-20" w:right="80" w:firstLine="439"/>
        <w:spacing w:after="0" w:line="304" w:lineRule="auto"/>
        <w:tabs>
          <w:tab w:leader="none" w:pos="62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Secretary’s Certificate</w:t>
      </w:r>
      <w:r>
        <w:rPr>
          <w:rFonts w:ascii="Times New Roman" w:cs="Times New Roman" w:eastAsia="Times New Roman" w:hAnsi="Times New Roman"/>
          <w:sz w:val="17"/>
          <w:szCs w:val="17"/>
          <w:color w:val="auto"/>
        </w:rPr>
        <w:t>. On or prior to the First Delivery Date and on each date on which the Company files its annual report on Form 10-K, Chardan shall have received a certificate, signed on behalf of the Company by its corporate secretary, in form and substance satisfactory to Chardan and its counsel.</w:t>
      </w:r>
    </w:p>
    <w:p>
      <w:pPr>
        <w:spacing w:after="0" w:line="34" w:lineRule="exact"/>
        <w:rPr>
          <w:rFonts w:ascii="Times New Roman" w:cs="Times New Roman" w:eastAsia="Times New Roman" w:hAnsi="Times New Roman"/>
          <w:sz w:val="17"/>
          <w:szCs w:val="17"/>
          <w:color w:val="auto"/>
        </w:rPr>
      </w:pPr>
    </w:p>
    <w:p>
      <w:pPr>
        <w:jc w:val="both"/>
        <w:ind w:left="-20" w:right="220" w:firstLine="439"/>
        <w:spacing w:after="0" w:line="252" w:lineRule="auto"/>
        <w:tabs>
          <w:tab w:leader="none" w:pos="6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Officer’s Certificate</w:t>
      </w:r>
      <w:r>
        <w:rPr>
          <w:rFonts w:ascii="Times New Roman" w:cs="Times New Roman" w:eastAsia="Times New Roman" w:hAnsi="Times New Roman"/>
          <w:sz w:val="18"/>
          <w:szCs w:val="18"/>
          <w:color w:val="auto"/>
        </w:rPr>
        <w:t xml:space="preserve">. On or prior to the First Delivery Date and on any date which the Company is obligated to deliver a certificate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for which no Waiver is applicable (other than in connection with the filing of an annual report on Form 10-K or quarterly financial statements on Form 8-K), the Company shall furnish Chardan with a certificate, signed on behalf of the Company by the Chief Financial Officer of the Company, dated as of such date and in form and substance satisfactory to Chardan and its counsel, that provides “management comfort” with respect to financial information contained in the Registration Statement and the Prospectus.</w:t>
      </w:r>
    </w:p>
    <w:p>
      <w:pPr>
        <w:spacing w:after="0" w:line="79"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Stock shall not have been suspended on Nasdaq.</w:t>
      </w:r>
    </w:p>
    <w:p>
      <w:pPr>
        <w:spacing w:after="0" w:line="111" w:lineRule="exact"/>
        <w:rPr>
          <w:rFonts w:ascii="Times New Roman" w:cs="Times New Roman" w:eastAsia="Times New Roman" w:hAnsi="Times New Roman"/>
          <w:sz w:val="18"/>
          <w:szCs w:val="18"/>
          <w:u w:val="single" w:color="auto"/>
          <w:color w:val="auto"/>
        </w:rPr>
      </w:pPr>
    </w:p>
    <w:p>
      <w:pPr>
        <w:ind w:left="-20" w:firstLine="439"/>
        <w:spacing w:after="0" w:line="255" w:lineRule="auto"/>
        <w:tabs>
          <w:tab w:leader="none" w:pos="6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for which no Waiver is applicable, the Company shall have furnished to Chardan such appropriate further information, certificates and documents as Chardan may have reasonably requested. All such opinions, certificates, letters and other documents shall have been in compliance with the provisions hereof. The Company will furnish Chardan with such conformed copies of such opinions, certificates, letters and other documents as Chardan shall have reasonably requested.</w:t>
      </w:r>
    </w:p>
    <w:p>
      <w:pPr>
        <w:spacing w:after="0" w:line="74" w:lineRule="exact"/>
        <w:rPr>
          <w:rFonts w:ascii="Times New Roman" w:cs="Times New Roman" w:eastAsia="Times New Roman" w:hAnsi="Times New Roman"/>
          <w:sz w:val="18"/>
          <w:szCs w:val="18"/>
          <w:color w:val="auto"/>
        </w:rPr>
      </w:pPr>
    </w:p>
    <w:p>
      <w:pPr>
        <w:ind w:left="-20" w:right="100" w:firstLine="439"/>
        <w:spacing w:after="0" w:line="274" w:lineRule="auto"/>
        <w:tabs>
          <w:tab w:leader="none" w:pos="71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57" w:lineRule="exact"/>
        <w:rPr>
          <w:rFonts w:ascii="Times New Roman" w:cs="Times New Roman" w:eastAsia="Times New Roman" w:hAnsi="Times New Roman"/>
          <w:sz w:val="18"/>
          <w:szCs w:val="18"/>
          <w:color w:val="auto"/>
        </w:rPr>
      </w:pPr>
    </w:p>
    <w:p>
      <w:pPr>
        <w:ind w:left="-20" w:right="220" w:firstLine="439"/>
        <w:spacing w:after="0" w:line="274" w:lineRule="auto"/>
        <w:tabs>
          <w:tab w:leader="none" w:pos="6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(i) approved for listing on Nasdaq, subject only to notice of issuance, or (ii) the Company shall have filed an application for listing of the Placement Shares on Nasdaq at, or prior to, the issuance of any Placement Notice.</w:t>
      </w:r>
    </w:p>
    <w:p>
      <w:pPr>
        <w:spacing w:after="0" w:line="5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xml:space="preserve">. There shall not have occurred any event that would permit Chardan to terminate this Agreement pursuant to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600" w:hanging="181"/>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20" w:right="80" w:firstLine="439"/>
        <w:spacing w:after="0" w:line="247" w:lineRule="auto"/>
        <w:tabs>
          <w:tab w:leader="none" w:pos="6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xml:space="preserve">. The Company agrees to indemnify and hold harmless Chardan, its affiliates and each of their respective directors, officers, partners, employees and agents of Chardan and each person, if any, who (i) controls Chardan within the meaning of Section 15 of the Securities Act or Section 20 of the Exchange Act, or (ii) is controlled by or is under common control with Chardan from and against any and all losses, claims, liabilities, expenses and damages (including, but not limited to, any and all reasonable and documented investigative, legal and other expenses incurred in connection with, and any and all amounts paid in settlement (in accordance with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any action, suit or proceeding between any of the indemnified parties and any indemnifying parties or between any indemnified party and any third party, or otherwise, or any claim asserted), as and when incurred, to which Chardan,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in it or necessary to make the statements in it not misleading or (z) any breach by any of the indemnifying parties of any of their respective representations, warranties and agreements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40" w:top="1440" w:right="339" w:bottom="1440" w:gutter="0" w:footer="0" w:header="0"/>
        </w:sectPr>
      </w:pPr>
    </w:p>
    <w:bookmarkStart w:id="24" w:name="page25"/>
    <w:bookmarkEnd w:id="24"/>
    <w:p>
      <w:pPr>
        <w:spacing w:after="0" w:line="6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that this indemnity agreement shall not apply to the extent that such loss, claim, liability, expense or damage arises from the sale of the Placement Shares pursuant to this Agreement and is caused directly or indirectly by an untrue statement or omission made in reliance upon and in conformity with solely Chardan’s Information. “Chardan’s Information” means, solely, the following information in the Prospectus: the tenth paragraph under the caption “Plan of Distribution” in the Prospectus. This indemnity agreement will be in addition to any liability that the Company might otherwise have.</w:t>
      </w:r>
    </w:p>
    <w:p>
      <w:pPr>
        <w:spacing w:after="0" w:line="74" w:lineRule="exact"/>
        <w:rPr>
          <w:sz w:val="20"/>
          <w:szCs w:val="20"/>
          <w:color w:val="auto"/>
        </w:rPr>
      </w:pPr>
    </w:p>
    <w:p>
      <w:pPr>
        <w:ind w:right="20" w:firstLine="439"/>
        <w:spacing w:after="0" w:line="251" w:lineRule="auto"/>
        <w:tabs>
          <w:tab w:leader="none" w:pos="68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Chardan Indemnification</w:t>
      </w:r>
      <w:r>
        <w:rPr>
          <w:rFonts w:ascii="Times New Roman" w:cs="Times New Roman" w:eastAsia="Times New Roman" w:hAnsi="Times New Roman"/>
          <w:sz w:val="18"/>
          <w:szCs w:val="18"/>
          <w:color w:val="auto"/>
        </w:rPr>
        <w:t xml:space="preserve">. Chardan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the Chardan’s Information.</w:t>
      </w:r>
    </w:p>
    <w:p>
      <w:pPr>
        <w:spacing w:after="0" w:line="79" w:lineRule="exact"/>
        <w:rPr>
          <w:rFonts w:ascii="Times New Roman" w:cs="Times New Roman" w:eastAsia="Times New Roman" w:hAnsi="Times New Roman"/>
          <w:sz w:val="18"/>
          <w:szCs w:val="18"/>
          <w:color w:val="auto"/>
        </w:rPr>
      </w:pPr>
    </w:p>
    <w:p>
      <w:pPr>
        <w:ind w:firstLine="439"/>
        <w:spacing w:after="0" w:line="262" w:lineRule="auto"/>
        <w:tabs>
          <w:tab w:leader="none" w:pos="673"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Procedure</w:t>
      </w:r>
      <w:r>
        <w:rPr>
          <w:rFonts w:ascii="Times New Roman" w:cs="Times New Roman" w:eastAsia="Times New Roman" w:hAnsi="Times New Roman"/>
          <w:sz w:val="17"/>
          <w:szCs w:val="17"/>
          <w:color w:val="auto"/>
        </w:rPr>
        <w:t xml:space="preserve">. Any party that proposes to assert the right to be indemnified under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and (ii) any liability that it may have to any indemnified party under the foregoing provision of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w:t>
      </w:r>
    </w:p>
    <w:p>
      <w:pPr>
        <w:spacing w:after="0" w:line="1" w:lineRule="exact"/>
        <w:rPr>
          <w:rFonts w:ascii="Times New Roman" w:cs="Times New Roman" w:eastAsia="Times New Roman" w:hAnsi="Times New Roman"/>
          <w:sz w:val="17"/>
          <w:szCs w:val="17"/>
          <w:color w:val="auto"/>
        </w:rPr>
      </w:pPr>
    </w:p>
    <w:p>
      <w:pPr>
        <w:ind w:firstLine="6"/>
        <w:spacing w:after="0" w:line="246" w:lineRule="auto"/>
        <w:tabs>
          <w:tab w:leader="none" w:pos="25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consent shall not be unreasonably withheld).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(whether or not any indemnified party is a party thereto), unless such settlement, compromise or consent includes an unconditional release of each indemnified party from all liability arising or that may arise out of such claim, action or proceeding.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320" w:top="1440" w:right="379" w:bottom="1440" w:gutter="0" w:footer="0" w:header="0"/>
        </w:sectPr>
      </w:pPr>
    </w:p>
    <w:bookmarkStart w:id="25" w:name="page26"/>
    <w:bookmarkEnd w:id="25"/>
    <w:p>
      <w:pPr>
        <w:spacing w:after="0" w:line="60" w:lineRule="exact"/>
        <w:rPr>
          <w:sz w:val="20"/>
          <w:szCs w:val="20"/>
          <w:color w:val="auto"/>
        </w:rPr>
      </w:pPr>
    </w:p>
    <w:p>
      <w:pPr>
        <w:ind w:left="-40" w:firstLine="439"/>
        <w:spacing w:after="0" w:line="261" w:lineRule="auto"/>
        <w:tabs>
          <w:tab w:leader="none" w:pos="64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is applicable in accordance with its terms but for any reason is held to be unavailable from the Company or Chardan, the Company and Chardan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Chardan, such as persons who control the Company within the meaning of the Securities Act, officers of the Company who signed the Registration Statement and directors of the Company, who also may be liable for contribution) to which the Company and Chardan may be subject in such proportion as shall be appropriate to reflect the relative benefits received by the Company on the one hand and Chardan on the other. The relative benefits received by the Company on the one hand and Chardan on the other hand shall be deemed to be in the same proportion as the total Net Proceeds from the sale of the Placement Shares (before deducting expenses) received by the Company bear to the total compensation received by Chardan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Chardan, on the other,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Chardan, the intent of the parties and their relative knowledge, access to information and opportunity to correct or prevent such statement or omission. The Company and Chardan agree that it would not be just and equitable if contributions pursuant to this </w:t>
      </w:r>
      <w:r>
        <w:rPr>
          <w:rFonts w:ascii="Times New Roman" w:cs="Times New Roman" w:eastAsia="Times New Roman" w:hAnsi="Times New Roman"/>
          <w:sz w:val="17"/>
          <w:szCs w:val="17"/>
          <w:u w:val="single" w:color="auto"/>
          <w:color w:val="auto"/>
        </w:rPr>
        <w:t>Section 9(d)</w:t>
      </w:r>
      <w:r>
        <w:rPr>
          <w:rFonts w:ascii="Times New Roman" w:cs="Times New Roman" w:eastAsia="Times New Roman" w:hAnsi="Times New Roman"/>
          <w:sz w:val="17"/>
          <w:szCs w:val="17"/>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7"/>
          <w:szCs w:val="17"/>
          <w:u w:val="single" w:color="auto"/>
          <w:color w:val="auto"/>
        </w:rPr>
        <w:t>Section 9(d)</w:t>
      </w:r>
      <w:r>
        <w:rPr>
          <w:rFonts w:ascii="Times New Roman" w:cs="Times New Roman" w:eastAsia="Times New Roman" w:hAnsi="Times New Roman"/>
          <w:sz w:val="17"/>
          <w:szCs w:val="17"/>
          <w:color w:val="auto"/>
        </w:rPr>
        <w:t xml:space="preserve"> shall be deemed to include, for the purpose of this </w:t>
      </w:r>
      <w:r>
        <w:rPr>
          <w:rFonts w:ascii="Times New Roman" w:cs="Times New Roman" w:eastAsia="Times New Roman" w:hAnsi="Times New Roman"/>
          <w:sz w:val="17"/>
          <w:szCs w:val="17"/>
          <w:u w:val="single" w:color="auto"/>
          <w:color w:val="auto"/>
        </w:rPr>
        <w:t>Section 9(d)</w:t>
      </w:r>
      <w:r>
        <w:rPr>
          <w:rFonts w:ascii="Times New Roman" w:cs="Times New Roman" w:eastAsia="Times New Roman" w:hAnsi="Times New Roman"/>
          <w:sz w:val="17"/>
          <w:szCs w:val="17"/>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7"/>
          <w:szCs w:val="17"/>
          <w:u w:val="single" w:color="auto"/>
          <w:color w:val="auto"/>
        </w:rPr>
        <w:t>Section 9(c)</w:t>
      </w:r>
      <w:r>
        <w:rPr>
          <w:rFonts w:ascii="Times New Roman" w:cs="Times New Roman" w:eastAsia="Times New Roman" w:hAnsi="Times New Roman"/>
          <w:sz w:val="17"/>
          <w:szCs w:val="17"/>
          <w:color w:val="auto"/>
        </w:rPr>
        <w:t xml:space="preserve"> hereof. Notwithstanding the foregoing provisions of this </w:t>
      </w:r>
      <w:r>
        <w:rPr>
          <w:rFonts w:ascii="Times New Roman" w:cs="Times New Roman" w:eastAsia="Times New Roman" w:hAnsi="Times New Roman"/>
          <w:sz w:val="17"/>
          <w:szCs w:val="17"/>
          <w:u w:val="single" w:color="auto"/>
          <w:color w:val="auto"/>
        </w:rPr>
        <w:t>Section 9(d)</w:t>
      </w:r>
      <w:r>
        <w:rPr>
          <w:rFonts w:ascii="Times New Roman" w:cs="Times New Roman" w:eastAsia="Times New Roman" w:hAnsi="Times New Roman"/>
          <w:sz w:val="17"/>
          <w:szCs w:val="17"/>
          <w:color w:val="auto"/>
        </w:rPr>
        <w:t xml:space="preserve">, Chardan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17"/>
          <w:szCs w:val="17"/>
          <w:u w:val="single" w:color="auto"/>
          <w:color w:val="auto"/>
        </w:rPr>
        <w:t>Section 9(d)</w:t>
      </w:r>
      <w:r>
        <w:rPr>
          <w:rFonts w:ascii="Times New Roman" w:cs="Times New Roman" w:eastAsia="Times New Roman" w:hAnsi="Times New Roman"/>
          <w:sz w:val="17"/>
          <w:szCs w:val="17"/>
          <w:color w:val="auto"/>
        </w:rPr>
        <w:t xml:space="preserve">, any person who controls a party to this Agreement within the meaning of the Securities Act, and any officers, directors, partners, employees or agents of Chardan, will have the same rights to contribution as that party, and each officer of the Company who signed the Registration Statement and each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7"/>
          <w:szCs w:val="17"/>
          <w:u w:val="single" w:color="auto"/>
          <w:color w:val="auto"/>
        </w:rPr>
        <w:t>Section 9(d)</w:t>
      </w:r>
      <w:r>
        <w:rPr>
          <w:rFonts w:ascii="Times New Roman" w:cs="Times New Roman" w:eastAsia="Times New Roman" w:hAnsi="Times New Roman"/>
          <w:sz w:val="17"/>
          <w:szCs w:val="17"/>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7"/>
          <w:szCs w:val="17"/>
          <w:u w:val="single" w:color="auto"/>
          <w:color w:val="auto"/>
        </w:rPr>
        <w:t>Section 9(d)</w:t>
      </w:r>
      <w:r>
        <w:rPr>
          <w:rFonts w:ascii="Times New Roman" w:cs="Times New Roman" w:eastAsia="Times New Roman" w:hAnsi="Times New Roman"/>
          <w:sz w:val="17"/>
          <w:szCs w:val="17"/>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7"/>
          <w:szCs w:val="17"/>
          <w:u w:val="single" w:color="auto"/>
          <w:color w:val="auto"/>
        </w:rPr>
        <w:t>Section 9(c)</w:t>
      </w:r>
      <w:r>
        <w:rPr>
          <w:rFonts w:ascii="Times New Roman" w:cs="Times New Roman" w:eastAsia="Times New Roman" w:hAnsi="Times New Roman"/>
          <w:sz w:val="17"/>
          <w:szCs w:val="17"/>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7"/>
          <w:szCs w:val="17"/>
          <w:u w:val="single" w:color="auto"/>
          <w:color w:val="auto"/>
        </w:rPr>
        <w:t>Section 9(c)</w:t>
      </w:r>
      <w:r>
        <w:rPr>
          <w:rFonts w:ascii="Times New Roman" w:cs="Times New Roman" w:eastAsia="Times New Roman" w:hAnsi="Times New Roman"/>
          <w:sz w:val="17"/>
          <w:szCs w:val="17"/>
          <w:color w:val="auto"/>
        </w:rPr>
        <w:t xml:space="preserve"> hereof.</w:t>
      </w:r>
    </w:p>
    <w:p>
      <w:pPr>
        <w:spacing w:after="0" w:line="300" w:lineRule="exact"/>
        <w:rPr>
          <w:sz w:val="20"/>
          <w:szCs w:val="20"/>
          <w:color w:val="auto"/>
        </w:rPr>
      </w:pPr>
    </w:p>
    <w:p>
      <w:pPr>
        <w:ind w:left="-40" w:right="100" w:firstLine="439"/>
        <w:spacing w:after="0" w:line="255" w:lineRule="auto"/>
        <w:tabs>
          <w:tab w:leader="none" w:pos="65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Chardan, any controlling persons, or the Company (or any of their respective officers, directors or controlling persons), (ii) delivery and acceptance of the Placement Shares and payment therefor or (iii) any termination of this Agreement.</w:t>
      </w:r>
    </w:p>
    <w:p>
      <w:pPr>
        <w:spacing w:after="0" w:line="74" w:lineRule="exact"/>
        <w:rPr>
          <w:rFonts w:ascii="Times New Roman" w:cs="Times New Roman" w:eastAsia="Times New Roman" w:hAnsi="Times New Roman"/>
          <w:sz w:val="18"/>
          <w:szCs w:val="18"/>
          <w:color w:val="auto"/>
        </w:rPr>
      </w:pPr>
    </w:p>
    <w:p>
      <w:pPr>
        <w:ind w:left="660" w:hanging="261"/>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p>
    <w:p>
      <w:pPr>
        <w:spacing w:after="0" w:line="111" w:lineRule="exact"/>
        <w:rPr>
          <w:sz w:val="20"/>
          <w:szCs w:val="20"/>
          <w:color w:val="auto"/>
        </w:rPr>
      </w:pPr>
    </w:p>
    <w:p>
      <w:pPr>
        <w:ind w:left="-40" w:right="60" w:firstLine="439"/>
        <w:spacing w:after="0" w:line="274" w:lineRule="auto"/>
        <w:tabs>
          <w:tab w:leader="none" w:pos="6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Chardan shall have the right by giving notice as hereinafter specified at any time to terminate this Agreement if (i) any Material Adverse Change, or any development that could reasonably be expected to result in 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60"/>
          </w:cols>
          <w:pgMar w:left="360" w:top="1440" w:right="379" w:bottom="1440" w:gutter="0" w:footer="0" w:header="0"/>
        </w:sectPr>
      </w:pPr>
    </w:p>
    <w:bookmarkStart w:id="26" w:name="page27"/>
    <w:bookmarkEnd w:id="26"/>
    <w:p>
      <w:pPr>
        <w:spacing w:after="0" w:line="6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 xml:space="preserve">Material Adverse Change has occurred that, in the reasonable judgment of Chardan, may materially impair the ability of Chardan to sell the Placement Shares hereunder, (ii) the Company shall have failed, refused or been unable to perform any agreement on its part to be performed hereunder, or (iii) any other condition of Chardan’s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cs="Times New Roman" w:eastAsia="Times New Roman" w:hAnsi="Times New Roman"/>
          <w:sz w:val="17"/>
          <w:szCs w:val="17"/>
          <w:u w:val="single" w:color="auto"/>
          <w:color w:val="auto"/>
        </w:rPr>
        <w:t>Section 7(g)</w:t>
      </w:r>
      <w:r>
        <w:rPr>
          <w:rFonts w:ascii="Times New Roman" w:cs="Times New Roman" w:eastAsia="Times New Roman" w:hAnsi="Times New Roman"/>
          <w:sz w:val="17"/>
          <w:szCs w:val="17"/>
          <w:color w:val="auto"/>
        </w:rPr>
        <w:t xml:space="preserve"> (Expenses),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(Indemnification and Contribution),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(Representations and Agreements to Survive Delivery),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(Applicable Law; Consent to Jurisdiction) and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(Waiver of Jury Trial) hereof shall remain in full force and effect notwithstanding such termination. If Chardan elects to terminate this Agreement as provided in this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 xml:space="preserve">, Chardan shall provide the required notice as specified in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(Notices).</w:t>
      </w:r>
    </w:p>
    <w:p>
      <w:pPr>
        <w:spacing w:after="0" w:line="68" w:lineRule="exact"/>
        <w:rPr>
          <w:sz w:val="20"/>
          <w:szCs w:val="20"/>
          <w:color w:val="auto"/>
        </w:rPr>
      </w:pPr>
    </w:p>
    <w:p>
      <w:pPr>
        <w:ind w:right="60" w:firstLine="439"/>
        <w:spacing w:after="0" w:line="259" w:lineRule="auto"/>
        <w:tabs>
          <w:tab w:leader="none" w:pos="6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71" w:lineRule="exact"/>
        <w:rPr>
          <w:rFonts w:ascii="Times New Roman" w:cs="Times New Roman" w:eastAsia="Times New Roman" w:hAnsi="Times New Roman"/>
          <w:sz w:val="18"/>
          <w:szCs w:val="18"/>
          <w:color w:val="auto"/>
        </w:rPr>
      </w:pPr>
    </w:p>
    <w:p>
      <w:pPr>
        <w:ind w:right="320" w:firstLine="439"/>
        <w:spacing w:after="0" w:line="259" w:lineRule="auto"/>
        <w:tabs>
          <w:tab w:leader="none" w:pos="6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Chardan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71" w:lineRule="exact"/>
        <w:rPr>
          <w:rFonts w:ascii="Times New Roman" w:cs="Times New Roman" w:eastAsia="Times New Roman" w:hAnsi="Times New Roman"/>
          <w:sz w:val="18"/>
          <w:szCs w:val="18"/>
          <w:color w:val="auto"/>
        </w:rPr>
      </w:pPr>
    </w:p>
    <w:p>
      <w:pPr>
        <w:jc w:val="both"/>
        <w:ind w:right="20" w:firstLine="439"/>
        <w:spacing w:after="0" w:line="259" w:lineRule="auto"/>
        <w:tabs>
          <w:tab w:leader="none" w:pos="6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this Agreement shall automatically terminate upon the issuance and sale of all of the Placement Shares through Chardan on the terms and subject to the conditions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71" w:lineRule="exact"/>
        <w:rPr>
          <w:rFonts w:ascii="Times New Roman" w:cs="Times New Roman" w:eastAsia="Times New Roman" w:hAnsi="Times New Roman"/>
          <w:sz w:val="18"/>
          <w:szCs w:val="18"/>
          <w:color w:val="auto"/>
        </w:rPr>
      </w:pPr>
    </w:p>
    <w:p>
      <w:pPr>
        <w:ind w:right="140" w:firstLine="439"/>
        <w:spacing w:after="0" w:line="259" w:lineRule="auto"/>
        <w:tabs>
          <w:tab w:leader="none" w:pos="6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w:t>
      </w:r>
      <w:r>
        <w:rPr>
          <w:rFonts w:ascii="Times New Roman" w:cs="Times New Roman" w:eastAsia="Times New Roman" w:hAnsi="Times New Roman"/>
          <w:sz w:val="18"/>
          <w:szCs w:val="18"/>
          <w:u w:val="single" w:color="auto"/>
          <w:color w:val="auto"/>
        </w:rPr>
        <w:t>Sections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 or (d)</w:t>
      </w:r>
      <w:r>
        <w:rPr>
          <w:rFonts w:ascii="Times New Roman" w:cs="Times New Roman" w:eastAsia="Times New Roman" w:hAnsi="Times New Roman"/>
          <w:sz w:val="18"/>
          <w:szCs w:val="18"/>
          <w:color w:val="auto"/>
        </w:rPr>
        <w:t xml:space="preserve"> above or otherwise by mutual agreement of the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shall remain in full force and effect.</w:t>
      </w:r>
    </w:p>
    <w:p>
      <w:pPr>
        <w:spacing w:after="0" w:line="69" w:lineRule="exact"/>
        <w:rPr>
          <w:rFonts w:ascii="Times New Roman" w:cs="Times New Roman" w:eastAsia="Times New Roman" w:hAnsi="Times New Roman"/>
          <w:sz w:val="18"/>
          <w:szCs w:val="18"/>
          <w:color w:val="auto"/>
        </w:rPr>
      </w:pPr>
    </w:p>
    <w:p>
      <w:pPr>
        <w:ind w:right="80" w:firstLine="439"/>
        <w:spacing w:after="0" w:line="283" w:lineRule="auto"/>
        <w:tabs>
          <w:tab w:leader="none" w:pos="653"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termination of this Agreement shall be effective on the date specified in such notice of termination;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such termination shall not be effective until the close of business on the date of receipt of such notice by Chardan or the Company, as the case may be. If such termination shall occur prior to the Settlement Date for any sale of Placement Shares, such Placement Shares shall settle in accordance with the provisions of this Agreement.</w:t>
      </w:r>
    </w:p>
    <w:p>
      <w:pPr>
        <w:spacing w:after="0" w:line="52" w:lineRule="exact"/>
        <w:rPr>
          <w:sz w:val="20"/>
          <w:szCs w:val="20"/>
          <w:color w:val="auto"/>
        </w:rPr>
      </w:pPr>
    </w:p>
    <w:p>
      <w:pPr>
        <w:ind w:right="80" w:firstLine="439"/>
        <w:spacing w:after="0" w:line="272" w:lineRule="auto"/>
        <w:tabs>
          <w:tab w:leader="none" w:pos="69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or other communications required or permitted to be given by any party to any other party pursuant to the terms of this Agreement shall be in writing, unless otherwise specified in this Agreement, and if sent to Chardan, shall be delivered to Chardan at Chardan Capital Markets LLC, One Pennsylvania Plaza, Suite 4800, New York, NY 10119, fax no. (646) 465-9025, Attention: Scott Blakeman (sblakeman@chardan.com); Partner, Head of Equity Trading; (646) 465-9025 and Chardan Legal (legal@chardan.com), with a required copy (which shall not constitute notice) to Lucosky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Brookman LLP, counsel for Chardan, at 101 Wood Avenue South, Woodbridge, NJ 08830, Attention: Sebastian A. Bacon, Esq., email: SBacon@lucbro.com;</w:t>
      </w:r>
    </w:p>
    <w:p>
      <w:pPr>
        <w:spacing w:after="0" w:line="3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or if sent to the Company, shall be delivered to Allbirds, Inc. at 530 Washington Street, San Francisco, CA 94111, attention: Legal Department, email: legal@allbirds.com, with a copy to Holland &amp; Hart LLP, attention: Amy Bowler, email: ABowler@hollandhart.com.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Nasdaq and commercial banks in the City of New York are open for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7" w:name="page28"/>
    <w:bookmarkEnd w:id="27"/>
    <w:p>
      <w:pPr>
        <w:spacing w:after="0" w:line="60" w:lineRule="exact"/>
        <w:rPr>
          <w:sz w:val="20"/>
          <w:szCs w:val="20"/>
          <w:color w:val="auto"/>
        </w:rPr>
      </w:pPr>
    </w:p>
    <w:p>
      <w:pPr>
        <w:ind w:left="-20" w:right="40" w:firstLine="439"/>
        <w:spacing w:after="0" w:line="250" w:lineRule="auto"/>
        <w:tabs>
          <w:tab w:leader="none" w:pos="6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Chardan and their respective successors and the affiliates, controlling persons, officers and directors referred to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Chardan may assign its rights and obligations hereunder to an affiliate of Chardan without obtaining the Company’s consent.</w:t>
      </w:r>
    </w:p>
    <w:p>
      <w:pPr>
        <w:spacing w:after="0" w:line="80" w:lineRule="exact"/>
        <w:rPr>
          <w:rFonts w:ascii="Times New Roman" w:cs="Times New Roman" w:eastAsia="Times New Roman" w:hAnsi="Times New Roman"/>
          <w:sz w:val="18"/>
          <w:szCs w:val="18"/>
          <w:color w:val="auto"/>
        </w:rPr>
      </w:pPr>
    </w:p>
    <w:p>
      <w:pPr>
        <w:ind w:left="-20" w:firstLine="439"/>
        <w:spacing w:after="0" w:line="274" w:lineRule="auto"/>
        <w:tabs>
          <w:tab w:leader="none" w:pos="6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Share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57" w:lineRule="exact"/>
        <w:rPr>
          <w:rFonts w:ascii="Times New Roman" w:cs="Times New Roman" w:eastAsia="Times New Roman" w:hAnsi="Times New Roman"/>
          <w:sz w:val="18"/>
          <w:szCs w:val="18"/>
          <w:color w:val="auto"/>
        </w:rPr>
      </w:pPr>
    </w:p>
    <w:p>
      <w:pPr>
        <w:ind w:left="-20" w:right="20" w:firstLine="439"/>
        <w:spacing w:after="0" w:line="249" w:lineRule="auto"/>
        <w:tabs>
          <w:tab w:leader="none" w:pos="6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w:t>
      </w:r>
      <w:r>
        <w:rPr>
          <w:rFonts w:ascii="Times New Roman" w:cs="Times New Roman" w:eastAsia="Times New Roman" w:hAnsi="Times New Roman"/>
          <w:sz w:val="18"/>
          <w:szCs w:val="18"/>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Chardan.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84" w:lineRule="exact"/>
        <w:rPr>
          <w:rFonts w:ascii="Times New Roman" w:cs="Times New Roman" w:eastAsia="Times New Roman" w:hAnsi="Times New Roman"/>
          <w:sz w:val="18"/>
          <w:szCs w:val="18"/>
          <w:color w:val="auto"/>
        </w:rPr>
      </w:pPr>
    </w:p>
    <w:p>
      <w:pPr>
        <w:ind w:left="-20" w:right="40" w:firstLine="439"/>
        <w:spacing w:after="0" w:line="249" w:lineRule="auto"/>
        <w:tabs>
          <w:tab w:leader="none" w:pos="6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Consent to Jurisdiction</w:t>
      </w:r>
      <w:r>
        <w:rPr>
          <w:rFonts w:ascii="Times New Roman" w:cs="Times New Roman" w:eastAsia="Times New Roman" w:hAnsi="Times New Roman"/>
          <w:sz w:val="18"/>
          <w:szCs w:val="18"/>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81" w:lineRule="exact"/>
        <w:rPr>
          <w:rFonts w:ascii="Times New Roman" w:cs="Times New Roman" w:eastAsia="Times New Roman" w:hAnsi="Times New Roman"/>
          <w:sz w:val="18"/>
          <w:szCs w:val="18"/>
          <w:color w:val="auto"/>
        </w:rPr>
      </w:pPr>
    </w:p>
    <w:p>
      <w:pPr>
        <w:ind w:left="-20" w:right="420" w:firstLine="439"/>
        <w:spacing w:after="0" w:line="274" w:lineRule="auto"/>
        <w:tabs>
          <w:tab w:leader="none" w:pos="6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and Chardan each hereby irrevocably waives any right it may have to a trial by jury in respect of any claim based upon or arising out of this Agreement or any transaction contemplated hereby.</w:t>
      </w:r>
    </w:p>
    <w:p>
      <w:pPr>
        <w:spacing w:after="0" w:line="5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acknowledges and agrees that:</w:t>
      </w:r>
    </w:p>
    <w:p>
      <w:pPr>
        <w:spacing w:after="0" w:line="113" w:lineRule="exact"/>
        <w:rPr>
          <w:sz w:val="20"/>
          <w:szCs w:val="20"/>
          <w:color w:val="auto"/>
        </w:rPr>
      </w:pPr>
    </w:p>
    <w:p>
      <w:pPr>
        <w:ind w:left="-20" w:right="260" w:firstLine="439"/>
        <w:spacing w:after="0" w:line="282" w:lineRule="auto"/>
        <w:tabs>
          <w:tab w:leader="none" w:pos="65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Chardan has been retained solely to act as an arm’s length contractual counterparty to the Company in connection with the sale of the Placement Shares contemplated hereby and that no fiduciary, advisory or agency relationship between the Company and Chardan has been created in respect of any of the transactions contemplated by this Agreement, irrespective of whether Chardan has advised or is advising the Company on other matters;</w:t>
      </w:r>
    </w:p>
    <w:p>
      <w:pPr>
        <w:spacing w:after="0" w:line="52" w:lineRule="exact"/>
        <w:rPr>
          <w:rFonts w:ascii="Times New Roman" w:cs="Times New Roman" w:eastAsia="Times New Roman" w:hAnsi="Times New Roman"/>
          <w:sz w:val="17"/>
          <w:szCs w:val="17"/>
          <w:color w:val="auto"/>
        </w:rPr>
      </w:pPr>
    </w:p>
    <w:p>
      <w:pPr>
        <w:ind w:left="-20" w:right="960" w:firstLine="439"/>
        <w:spacing w:after="0" w:line="274" w:lineRule="auto"/>
        <w:tabs>
          <w:tab w:leader="none" w:pos="6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capable of evaluating and understanding and understands and accepts the terms, risks and conditions of the transactions contemplated by this Agreement;</w:t>
      </w:r>
    </w:p>
    <w:p>
      <w:pPr>
        <w:spacing w:after="0" w:line="57" w:lineRule="exact"/>
        <w:rPr>
          <w:rFonts w:ascii="Times New Roman" w:cs="Times New Roman" w:eastAsia="Times New Roman" w:hAnsi="Times New Roman"/>
          <w:sz w:val="18"/>
          <w:szCs w:val="18"/>
          <w:color w:val="auto"/>
        </w:rPr>
      </w:pPr>
    </w:p>
    <w:p>
      <w:pPr>
        <w:ind w:left="-20" w:right="100" w:firstLine="439"/>
        <w:spacing w:after="0" w:line="259" w:lineRule="auto"/>
        <w:tabs>
          <w:tab w:leader="none" w:pos="6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advised that Chardan and its affiliates are engaged in a broad range of transactions which may involve interests that differ from those of the Company and that Chardan has no obligation to disclose such interests and transactions to the Company by virtue of any fiduciary, advisory or agency relationship; and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40" w:top="1440" w:right="339" w:bottom="1440" w:gutter="0" w:footer="0" w:header="0"/>
        </w:sectPr>
      </w:pPr>
    </w:p>
    <w:bookmarkStart w:id="28" w:name="page29"/>
    <w:bookmarkEnd w:id="28"/>
    <w:p>
      <w:pPr>
        <w:spacing w:after="0" w:line="60" w:lineRule="exact"/>
        <w:rPr>
          <w:sz w:val="20"/>
          <w:szCs w:val="20"/>
          <w:color w:val="auto"/>
        </w:rPr>
      </w:pPr>
    </w:p>
    <w:p>
      <w:pPr>
        <w:ind w:firstLine="439"/>
        <w:spacing w:after="0" w:line="282" w:lineRule="auto"/>
        <w:tabs>
          <w:tab w:leader="none" w:pos="68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waives, to the fullest extent permitted by law, any claims it may have against Chardan, for breach of fiduciary duty or alleged breach of fiduciary duty and agrees that Chardan shall have no liability (whether direct or indirect) to the Company in respect of such a fiduciary claim or to any person asserting a fiduciary duty claim on behalf of or in right of the Company, including stockholders, partners, employees or creditors of the Company.</w:t>
      </w:r>
    </w:p>
    <w:p>
      <w:pPr>
        <w:spacing w:after="0" w:line="53" w:lineRule="exact"/>
        <w:rPr>
          <w:sz w:val="20"/>
          <w:szCs w:val="20"/>
          <w:color w:val="auto"/>
        </w:rPr>
      </w:pPr>
    </w:p>
    <w:p>
      <w:pPr>
        <w:ind w:right="80" w:firstLine="439"/>
        <w:spacing w:after="0" w:line="252" w:lineRule="auto"/>
        <w:tabs>
          <w:tab w:leader="none" w:pos="69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other electronic transmission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79" w:lineRule="exact"/>
        <w:rPr>
          <w:rFonts w:ascii="Times New Roman" w:cs="Times New Roman" w:eastAsia="Times New Roman" w:hAnsi="Times New Roman"/>
          <w:sz w:val="18"/>
          <w:szCs w:val="18"/>
          <w:color w:val="auto"/>
        </w:rPr>
      </w:pPr>
    </w:p>
    <w:p>
      <w:pPr>
        <w:ind w:left="700" w:hanging="261"/>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right="40" w:firstLine="439"/>
        <w:spacing w:after="0" w:line="255" w:lineRule="auto"/>
        <w:tabs>
          <w:tab w:leader="none" w:pos="6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Chardan is a Covered Entity and becomes subject to a proceeding under a U.S. Special Resolution Regime, the transfer from Chardan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4" w:lineRule="exact"/>
        <w:rPr>
          <w:rFonts w:ascii="Times New Roman" w:cs="Times New Roman" w:eastAsia="Times New Roman" w:hAnsi="Times New Roman"/>
          <w:sz w:val="18"/>
          <w:szCs w:val="18"/>
          <w:color w:val="auto"/>
        </w:rPr>
      </w:pPr>
    </w:p>
    <w:p>
      <w:pPr>
        <w:ind w:right="20" w:firstLine="439"/>
        <w:spacing w:after="0" w:line="255" w:lineRule="auto"/>
        <w:tabs>
          <w:tab w:leader="none" w:pos="6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Chardan is a Covered Entity and Chardan or a BHC Act Affiliate of Chardan becomes subject to a proceeding under a U.S. Special Resolution Regime, Default Rights under this Agreement that may be exercised against Chardan are permitted to be exercised to no greater extent than such Default Rights could be exercised under the U.S. Special Resolution Regime if this Agreement were governed by the laws of the United States or a state of the United States.</w:t>
      </w:r>
    </w:p>
    <w:p>
      <w:pPr>
        <w:spacing w:after="0" w:line="72" w:lineRule="exact"/>
        <w:rPr>
          <w:rFonts w:ascii="Times New Roman" w:cs="Times New Roman" w:eastAsia="Times New Roman" w:hAnsi="Times New Roman"/>
          <w:sz w:val="18"/>
          <w:szCs w:val="18"/>
          <w:color w:val="auto"/>
        </w:rPr>
      </w:pPr>
    </w:p>
    <w:p>
      <w:pPr>
        <w:ind w:right="20" w:firstLine="439"/>
        <w:spacing w:after="0" w:line="250" w:lineRule="auto"/>
        <w:tabs>
          <w:tab w:leader="none" w:pos="6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20; (a) “</w:t>
      </w:r>
      <w:r>
        <w:rPr>
          <w:rFonts w:ascii="Times New Roman" w:cs="Times New Roman" w:eastAsia="Times New Roman" w:hAnsi="Times New Roman"/>
          <w:sz w:val="18"/>
          <w:szCs w:val="18"/>
          <w:b w:val="1"/>
          <w:bCs w:val="1"/>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(b) “</w:t>
      </w:r>
      <w:r>
        <w:rPr>
          <w:rFonts w:ascii="Times New Roman" w:cs="Times New Roman" w:eastAsia="Times New Roman" w:hAnsi="Times New Roman"/>
          <w:sz w:val="18"/>
          <w:szCs w:val="18"/>
          <w:b w:val="1"/>
          <w:bCs w:val="1"/>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18"/>
          <w:szCs w:val="18"/>
          <w:b w:val="1"/>
          <w:bCs w:val="1"/>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9" w:name="page30"/>
    <w:bookmarkEnd w:id="29"/>
    <w:p>
      <w:pPr>
        <w:ind w:firstLine="433"/>
        <w:spacing w:after="0" w:line="274"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Chardan, please so indicate in the space provided below for that purpose, whereupon this letter shall constitute a binding agreement between the Company and Chardan.</w:t>
      </w:r>
    </w:p>
    <w:p>
      <w:pPr>
        <w:spacing w:after="0" w:line="23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6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CHARDAN CAPITAL</w:t>
      </w:r>
    </w:p>
    <w:p>
      <w:pPr>
        <w:ind w:left="5380"/>
        <w:spacing w:after="0"/>
        <w:rPr>
          <w:sz w:val="20"/>
          <w:szCs w:val="20"/>
          <w:color w:val="auto"/>
        </w:rPr>
      </w:pPr>
      <w:r>
        <w:rPr>
          <w:rFonts w:ascii="Times New Roman" w:cs="Times New Roman" w:eastAsia="Times New Roman" w:hAnsi="Times New Roman"/>
          <w:sz w:val="18"/>
          <w:szCs w:val="18"/>
          <w:b w:val="1"/>
          <w:bCs w:val="1"/>
          <w:color w:val="auto"/>
        </w:rPr>
        <w:t>MARKETS LLC</w:t>
      </w:r>
    </w:p>
    <w:p>
      <w:pPr>
        <w:spacing w:after="0" w:line="277"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Shai Gerson</w:t>
            </w:r>
          </w:p>
        </w:tc>
      </w:tr>
      <w:tr>
        <w:trPr>
          <w:trHeight w:val="213"/>
        </w:trPr>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Shai Gerson</w:t>
            </w:r>
          </w:p>
        </w:tc>
      </w:tr>
      <w:tr>
        <w:trPr>
          <w:trHeight w:val="231"/>
        </w:trPr>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Partner, Capital Markets</w:t>
            </w:r>
          </w:p>
        </w:tc>
      </w:tr>
    </w:tbl>
    <w:p>
      <w:pPr>
        <w:spacing w:after="0" w:line="24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ACCEPTED as of the date first-</w:t>
      </w:r>
    </w:p>
    <w:p>
      <w:pPr>
        <w:ind w:left="5380"/>
        <w:spacing w:after="0"/>
        <w:rPr>
          <w:sz w:val="20"/>
          <w:szCs w:val="20"/>
          <w:color w:val="auto"/>
        </w:rPr>
      </w:pPr>
      <w:r>
        <w:rPr>
          <w:rFonts w:ascii="Times New Roman" w:cs="Times New Roman" w:eastAsia="Times New Roman" w:hAnsi="Times New Roman"/>
          <w:sz w:val="18"/>
          <w:szCs w:val="18"/>
          <w:b w:val="1"/>
          <w:bCs w:val="1"/>
          <w:color w:val="auto"/>
        </w:rPr>
        <w:t>above written:</w:t>
      </w:r>
    </w:p>
    <w:p>
      <w:pPr>
        <w:spacing w:after="0" w:line="27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32"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 Vernachio</w:t>
            </w:r>
          </w:p>
        </w:tc>
      </w:tr>
      <w:tr>
        <w:trPr>
          <w:trHeight w:val="213"/>
        </w:trPr>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Name:</w:t>
            </w: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Joe Vernachio</w:t>
            </w:r>
          </w:p>
        </w:tc>
      </w:tr>
      <w:tr>
        <w:trPr>
          <w:trHeight w:val="231"/>
        </w:trPr>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Title:</w:t>
            </w: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700"/>
          </w:cols>
          <w:pgMar w:left="320" w:top="1393" w:right="8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3</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shall be paid compensation up to 3.0% of the gross proceeds from the sales of Common Stock pursuant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sectPr>
      <w:pgSz w:w="11900" w:h="16838" w:orient="portrait"/>
      <w:cols w:equalWidth="0" w:num="1">
        <w:col w:w="11240"/>
      </w:cols>
      <w:pgMar w:left="320" w:top="1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1."/>
      <w:numFmt w:val="decimal"/>
      <w:start w:val="2"/>
    </w:lvl>
  </w:abstractNum>
  <w:abstractNum w:abstractNumId="3">
    <w:nsid w:val="8EDBDAB"/>
    <w:multiLevelType w:val="hybridMultilevel"/>
    <w:lvl w:ilvl="0">
      <w:lvlJc w:val="left"/>
      <w:lvlText w:val="%1."/>
      <w:numFmt w:val="decimal"/>
      <w:start w:val="4"/>
    </w:lvl>
  </w:abstractNum>
  <w:abstractNum w:abstractNumId="4">
    <w:nsid w:val="79838CB2"/>
    <w:multiLevelType w:val="hybridMultilevel"/>
    <w:lvl w:ilvl="0">
      <w:lvlJc w:val="left"/>
      <w:lvlText w:val="(%1)"/>
      <w:numFmt w:val="lowerLetter"/>
      <w:start w:val="1"/>
    </w:lvl>
  </w:abstractNum>
  <w:abstractNum w:abstractNumId="5">
    <w:nsid w:val="4353D0CD"/>
    <w:multiLevelType w:val="hybridMultilevel"/>
    <w:lvl w:ilvl="0">
      <w:lvlJc w:val="left"/>
      <w:lvlText w:val="(%1)"/>
      <w:numFmt w:val="lowerLetter"/>
      <w:start w:val="3"/>
    </w:lvl>
  </w:abstractNum>
  <w:abstractNum w:abstractNumId="6">
    <w:nsid w:val="B03E0C6"/>
    <w:multiLevelType w:val="hybridMultilevel"/>
    <w:lvl w:ilvl="0">
      <w:lvlJc w:val="left"/>
      <w:lvlText w:val="%1."/>
      <w:numFmt w:val="decimal"/>
      <w:start w:val="5"/>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decimal"/>
      <w:start w:val="6"/>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lowerLetter"/>
      <w:start w:val="2"/>
    </w:lvl>
  </w:abstractNum>
  <w:abstractNum w:abstractNumId="11">
    <w:nsid w:val="836C40E"/>
    <w:multiLevelType w:val="hybridMultilevel"/>
    <w:lvl w:ilvl="0">
      <w:lvlJc w:val="left"/>
      <w:lvlText w:val="(%1)"/>
      <w:numFmt w:val="lowerLetter"/>
      <w:start w:val="9"/>
    </w:lvl>
  </w:abstractNum>
  <w:abstractNum w:abstractNumId="12">
    <w:nsid w:val="2901D82"/>
    <w:multiLevelType w:val="hybridMultilevel"/>
    <w:lvl w:ilvl="0">
      <w:lvlJc w:val="left"/>
      <w:lvlText w:val="(%1)"/>
      <w:numFmt w:val="lowerLetter"/>
      <w:start w:val="14"/>
    </w:lvl>
  </w:abstractNum>
  <w:abstractNum w:abstractNumId="13">
    <w:nsid w:val="3A95F874"/>
    <w:multiLevelType w:val="hybridMultilevel"/>
    <w:lvl w:ilvl="0">
      <w:lvlJc w:val="left"/>
      <w:lvlText w:val="%1"/>
      <w:numFmt w:val="lowerLetter"/>
      <w:start w:val="1"/>
    </w:lvl>
    <w:lvl w:ilvl="1">
      <w:lvlJc w:val="left"/>
      <w:lvlText w:val="(%2)"/>
      <w:numFmt w:val="lowerLetter"/>
      <w:start w:val="18"/>
    </w:lvl>
  </w:abstractNum>
  <w:abstractNum w:abstractNumId="14">
    <w:nsid w:val="8138641"/>
    <w:multiLevelType w:val="hybridMultilevel"/>
    <w:lvl w:ilvl="0">
      <w:lvlJc w:val="left"/>
      <w:lvlText w:val="(%1)"/>
      <w:numFmt w:val="lowerLetter"/>
      <w:start w:val="9"/>
    </w:lvl>
    <w:lvl w:ilvl="1">
      <w:lvlJc w:val="left"/>
      <w:lvlText w:val="(%2)"/>
      <w:numFmt w:val="lowerLetter"/>
      <w:start w:val="21"/>
    </w:lvl>
  </w:abstractNum>
  <w:abstractNum w:abstractNumId="15">
    <w:nsid w:val="1E7FF521"/>
    <w:multiLevelType w:val="hybridMultilevel"/>
    <w:lvl w:ilvl="0">
      <w:lvlJc w:val="left"/>
      <w:lvlText w:val="(%1)"/>
      <w:numFmt w:val="lowerLetter"/>
      <w:start w:val="27"/>
    </w:lvl>
  </w:abstractNum>
  <w:abstractNum w:abstractNumId="16">
    <w:nsid w:val="7C3DBD3D"/>
    <w:multiLevelType w:val="hybridMultilevel"/>
    <w:lvl w:ilvl="0">
      <w:lvlJc w:val="left"/>
      <w:lvlText w:val="(%1)"/>
      <w:numFmt w:val="lowerLetter"/>
      <w:start w:val="29"/>
    </w:lvl>
  </w:abstractNum>
  <w:abstractNum w:abstractNumId="17">
    <w:nsid w:val="737B8DDC"/>
    <w:multiLevelType w:val="hybridMultilevel"/>
    <w:lvl w:ilvl="0">
      <w:lvlJc w:val="left"/>
      <w:lvlText w:val="(%1)"/>
      <w:numFmt w:val="lowerLetter"/>
      <w:start w:val="30"/>
    </w:lvl>
  </w:abstractNum>
  <w:abstractNum w:abstractNumId="18">
    <w:nsid w:val="6CEAF087"/>
    <w:multiLevelType w:val="hybridMultilevel"/>
    <w:lvl w:ilvl="0">
      <w:lvlJc w:val="left"/>
      <w:lvlText w:val="(%1)"/>
      <w:numFmt w:val="lowerLetter"/>
      <w:start w:val="35"/>
    </w:lvl>
  </w:abstractNum>
  <w:abstractNum w:abstractNumId="19">
    <w:nsid w:val="22221A70"/>
    <w:multiLevelType w:val="hybridMultilevel"/>
    <w:lvl w:ilvl="0">
      <w:lvlJc w:val="left"/>
      <w:lvlText w:val="(%1)"/>
      <w:numFmt w:val="lowerLetter"/>
      <w:start w:val="43"/>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lowerLetter"/>
      <w:start w:val="2"/>
    </w:lvl>
  </w:abstractNum>
  <w:abstractNum w:abstractNumId="22">
    <w:nsid w:val="614FD4A1"/>
    <w:multiLevelType w:val="hybridMultilevel"/>
    <w:lvl w:ilvl="0">
      <w:lvlJc w:val="left"/>
      <w:lvlText w:val="(%1)"/>
      <w:numFmt w:val="lowerLetter"/>
      <w:start w:val="6"/>
    </w:lvl>
  </w:abstractNum>
  <w:abstractNum w:abstractNumId="23">
    <w:nsid w:val="419AC241"/>
    <w:multiLevelType w:val="hybridMultilevel"/>
    <w:lvl w:ilvl="0">
      <w:lvlJc w:val="left"/>
      <w:lvlText w:val="(%1)"/>
      <w:numFmt w:val="lowerLetter"/>
      <w:start w:val="22"/>
    </w:lvl>
    <w:lvl w:ilvl="1">
      <w:lvlJc w:val="left"/>
      <w:lvlText w:val="(%2)"/>
      <w:numFmt w:val="lowerLetter"/>
      <w:start w:val="8"/>
    </w:lvl>
  </w:abstractNum>
  <w:abstractNum w:abstractNumId="24">
    <w:nsid w:val="5577F8E1"/>
    <w:multiLevelType w:val="hybridMultilevel"/>
    <w:lvl w:ilvl="0">
      <w:lvlJc w:val="left"/>
      <w:lvlText w:val="(%1)"/>
      <w:numFmt w:val="lowerLetter"/>
      <w:start w:val="12"/>
    </w:lvl>
  </w:abstractNum>
  <w:abstractNum w:abstractNumId="25">
    <w:nsid w:val="440BADFC"/>
    <w:multiLevelType w:val="hybridMultilevel"/>
    <w:lvl w:ilvl="0">
      <w:lvlJc w:val="left"/>
      <w:lvlText w:val="(%1)"/>
      <w:numFmt w:val="lowerLetter"/>
      <w:start w:val="15"/>
    </w:lvl>
  </w:abstractNum>
  <w:abstractNum w:abstractNumId="26">
    <w:nsid w:val="5072367"/>
    <w:multiLevelType w:val="hybridMultilevel"/>
    <w:lvl w:ilvl="0">
      <w:lvlJc w:val="left"/>
      <w:lvlText w:val="(%1)"/>
      <w:numFmt w:val="lowerLetter"/>
      <w:start w:val="16"/>
    </w:lvl>
  </w:abstractNum>
  <w:abstractNum w:abstractNumId="27">
    <w:nsid w:val="3804823E"/>
    <w:multiLevelType w:val="hybridMultilevel"/>
    <w:lvl w:ilvl="0">
      <w:lvlJc w:val="left"/>
      <w:lvlText w:val="%1."/>
      <w:numFmt w:val="decimal"/>
      <w:start w:val="8"/>
    </w:lvl>
  </w:abstractNum>
  <w:abstractNum w:abstractNumId="28">
    <w:nsid w:val="77465F01"/>
    <w:multiLevelType w:val="hybridMultilevel"/>
    <w:lvl w:ilvl="0">
      <w:lvlJc w:val="left"/>
      <w:lvlText w:val="%1"/>
      <w:numFmt w:val="lowerLetter"/>
      <w:start w:val="1"/>
    </w:lvl>
    <w:lvl w:ilvl="1">
      <w:lvlJc w:val="left"/>
      <w:lvlText w:val="(%2)"/>
      <w:numFmt w:val="lowerLetter"/>
      <w:start w:val="1"/>
    </w:lvl>
  </w:abstractNum>
  <w:abstractNum w:abstractNumId="29">
    <w:nsid w:val="7724C67E"/>
    <w:multiLevelType w:val="hybridMultilevel"/>
    <w:lvl w:ilvl="0">
      <w:lvlJc w:val="left"/>
      <w:lvlText w:val="(%1)"/>
      <w:numFmt w:val="lowerLetter"/>
      <w:start w:val="35"/>
    </w:lvl>
    <w:lvl w:ilvl="1">
      <w:lvlJc w:val="left"/>
      <w:lvlText w:val="(%2)"/>
      <w:numFmt w:val="lowerLetter"/>
      <w:start w:val="3"/>
    </w:lvl>
  </w:abstractNum>
  <w:abstractNum w:abstractNumId="30">
    <w:nsid w:val="5C482A97"/>
    <w:multiLevelType w:val="hybridMultilevel"/>
    <w:lvl w:ilvl="0">
      <w:lvlJc w:val="left"/>
      <w:lvlText w:val="(%1)"/>
      <w:numFmt w:val="lowerLetter"/>
      <w:start w:val="7"/>
    </w:lvl>
  </w:abstractNum>
  <w:abstractNum w:abstractNumId="31">
    <w:nsid w:val="2463B9EA"/>
    <w:multiLevelType w:val="hybridMultilevel"/>
    <w:lvl w:ilvl="0">
      <w:lvlJc w:val="left"/>
      <w:lvlText w:val="%1."/>
      <w:numFmt w:val="decimal"/>
      <w:start w:val="9"/>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decimal"/>
      <w:start w:val="1"/>
    </w:lvl>
    <w:lvl w:ilvl="1">
      <w:lvlJc w:val="left"/>
      <w:lvlText w:val="(%2)"/>
      <w:numFmt w:val="lowerLetter"/>
      <w:start w:val="2"/>
    </w:lvl>
  </w:abstractNum>
  <w:abstractNum w:abstractNumId="34">
    <w:nsid w:val="2D517796"/>
    <w:multiLevelType w:val="hybridMultilevel"/>
    <w:lvl w:ilvl="0">
      <w:lvlJc w:val="left"/>
      <w:lvlText w:val="(%1)"/>
      <w:numFmt w:val="decimal"/>
      <w:start w:val="2"/>
    </w:lvl>
    <w:lvl w:ilvl="1">
      <w:lvlJc w:val="left"/>
      <w:lvlText w:val="%2"/>
      <w:numFmt w:val="lowerLetter"/>
      <w:start w:val="1"/>
    </w:lvl>
  </w:abstractNum>
  <w:abstractNum w:abstractNumId="35">
    <w:nsid w:val="580BD78F"/>
    <w:multiLevelType w:val="hybridMultilevel"/>
    <w:lvl w:ilvl="0">
      <w:lvlJc w:val="left"/>
      <w:lvlText w:val="(%1)"/>
      <w:numFmt w:val="lowerLetter"/>
      <w:start w:val="4"/>
    </w:lvl>
  </w:abstractNum>
  <w:abstractNum w:abstractNumId="36">
    <w:nsid w:val="153EA438"/>
    <w:multiLevelType w:val="hybridMultilevel"/>
    <w:lvl w:ilvl="0">
      <w:lvlJc w:val="left"/>
      <w:lvlText w:val="%1."/>
      <w:numFmt w:val="decimal"/>
      <w:start w:val="10"/>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2"/>
    </w:lvl>
  </w:abstractNum>
  <w:abstractNum w:abstractNumId="39">
    <w:nsid w:val="6A2342EC"/>
    <w:multiLevelType w:val="hybridMultilevel"/>
    <w:lvl w:ilvl="0">
      <w:lvlJc w:val="left"/>
      <w:lvlText w:val="%1."/>
      <w:numFmt w:val="decimal"/>
      <w:start w:val="12"/>
    </w:lvl>
  </w:abstractNum>
  <w:abstractNum w:abstractNumId="40">
    <w:nsid w:val="2A487CB0"/>
    <w:multiLevelType w:val="hybridMultilevel"/>
    <w:lvl w:ilvl="0">
      <w:lvlJc w:val="left"/>
      <w:lvlText w:val="%1."/>
      <w:numFmt w:val="decimal"/>
      <w:start w:val="13"/>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lowerLetter"/>
      <w:start w:val="4"/>
    </w:lvl>
  </w:abstractNum>
  <w:abstractNum w:abstractNumId="43">
    <w:nsid w:val="2CD89A32"/>
    <w:multiLevelType w:val="hybridMultilevel"/>
    <w:lvl w:ilvl="0">
      <w:lvlJc w:val="left"/>
      <w:lvlText w:val="%1."/>
      <w:numFmt w:val="decimal"/>
      <w:start w:val="19"/>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2026-04-29T16:01:46Z</dcterms:created>
  <dcterms:modified xsi:type="dcterms:W3CDTF">2026-04-29T16:01:46Z</dcterms:modified>
</cp:coreProperties>
</file>