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240" w:after="283"/>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18"/>
        </w:rPr>
        <w:t>001-40963</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w:t>
      </w:r>
    </w:p>
    <w:p>
      <w:pPr>
        <w:pStyle w:val="TextBody"/>
        <w:bidi w:val="0"/>
        <w:spacing w:lineRule="auto" w:line="288" w:before="120" w:after="283"/>
        <w:jc w:val="center"/>
        <w:rPr>
          <w:rFonts w:ascii="Times New Roman;serif" w:hAnsi="Times New Roman;serif"/>
          <w:b/>
          <w:color w:val="231F20"/>
          <w:sz w:val="36"/>
        </w:rPr>
      </w:pPr>
      <w:r>
        <w:rPr>
          <w:rFonts w:ascii="Times New Roman;serif" w:hAnsi="Times New Roman;serif"/>
          <w:b/>
          <w:color w:val="231F20"/>
          <w:sz w:val="36"/>
        </w:rPr>
        <w:t>Allbirds,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w:t>
      </w:r>
    </w:p>
    <w:tbl>
      <w:tblPr>
        <w:tblW w:w="4315" w:type="dxa"/>
        <w:jc w:val="center"/>
        <w:tblInd w:w="0" w:type="dxa"/>
        <w:tblLayout w:type="fixed"/>
        <w:tblCellMar>
          <w:top w:w="28" w:type="dxa"/>
          <w:left w:w="28" w:type="dxa"/>
          <w:bottom w:w="28" w:type="dxa"/>
          <w:right w:w="28" w:type="dxa"/>
        </w:tblCellMar>
      </w:tblPr>
      <w:tblGrid>
        <w:gridCol w:w="807"/>
        <w:gridCol w:w="708"/>
        <w:gridCol w:w="719"/>
        <w:gridCol w:w="109"/>
        <w:gridCol w:w="109"/>
        <w:gridCol w:w="109"/>
        <w:gridCol w:w="512"/>
        <w:gridCol w:w="512"/>
        <w:gridCol w:w="730"/>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47-3999983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530 Washington 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Francisco, CA 94111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(628) 225-4848</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36" w:type="dxa"/>
        <w:jc w:val="left"/>
        <w:tblInd w:w="0" w:type="dxa"/>
        <w:tblLayout w:type="fixed"/>
        <w:tblCellMar>
          <w:top w:w="28" w:type="dxa"/>
          <w:left w:w="28" w:type="dxa"/>
          <w:bottom w:w="28" w:type="dxa"/>
          <w:right w:w="28" w:type="dxa"/>
        </w:tblCellMar>
      </w:tblPr>
      <w:tblGrid>
        <w:gridCol w:w="1372"/>
        <w:gridCol w:w="1203"/>
        <w:gridCol w:w="1219"/>
        <w:gridCol w:w="109"/>
        <w:gridCol w:w="109"/>
        <w:gridCol w:w="109"/>
        <w:gridCol w:w="424"/>
        <w:gridCol w:w="424"/>
        <w:gridCol w:w="426"/>
        <w:gridCol w:w="109"/>
        <w:gridCol w:w="109"/>
        <w:gridCol w:w="109"/>
        <w:gridCol w:w="970"/>
        <w:gridCol w:w="970"/>
        <w:gridCol w:w="1374"/>
      </w:tblGrid>
      <w:tr>
        <w:trPr/>
        <w:tc>
          <w:tcPr>
            <w:tcW w:w="137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19" w:type="dxa"/>
        <w:jc w:val="center"/>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voting stock held by non-affiliates of the Registrant on June 30, 2025 (the last business day of the Registrant’s fiscal second quarter), based on the closing price of $10.63 for shares of the Registrant’s Class A common stock as reported by the Nasdaq Global Select Market, was approximately $58.6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February 28, 2026, the number of shares of the registrant’s Class A common stock outstanding was 6,167,752 and the number of shares of the registrant’s Class B common stock outstanding was 2,540,381.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the 2026 annual meeting of stockholders are incorporated by reference into Part III of this Annual Report on Form 10-K where indicated. Such definitive proxy statement will be filed with the U.S. Securities and Exchange Commission within 120 days after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1"/>
        <w:gridCol w:w="3085"/>
        <w:gridCol w:w="3096"/>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0">
              <w:r>
                <w:rPr>
                  <w:rStyle w:val="InternetLink"/>
                  <w:rFonts w:ascii="Times New Roman;serif" w:hAnsi="Times New Roman;serif"/>
                  <w:b w:val="false"/>
                  <w:color w:val="0000FF"/>
                  <w:sz w:val="20"/>
                  <w:u w:val="single"/>
                </w:rPr>
                <w:t>Special Note Regarding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0">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3">
              <w:r>
                <w:rPr>
                  <w:rStyle w:val="InternetLink"/>
                  <w:rFonts w:ascii="Times New Roman;serif" w:hAnsi="Times New Roman;serif"/>
                  <w:b w:val="false"/>
                  <w:color w:val="0000FF"/>
                  <w:sz w:val="20"/>
                  <w:u w:val="single"/>
                </w:rPr>
                <w:t>Part 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6">
              <w:r>
                <w:rPr>
                  <w:rStyle w:val="InternetLink"/>
                  <w:rFonts w:ascii="Times New Roman;serif" w:hAnsi="Times New Roman;serif"/>
                  <w:b w:val="false"/>
                  <w:color w:val="0000FF"/>
                  <w:sz w:val="20"/>
                  <w:u w:val="single"/>
                </w:rPr>
                <w:t>Item 1. 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6">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5">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5">
              <w:r>
                <w:rPr>
                  <w:rStyle w:val="InternetLink"/>
                  <w:rFonts w:ascii="Times New Roman;serif" w:hAnsi="Times New Roman;serif"/>
                  <w:b w:val="false"/>
                  <w:color w:val="0000FF"/>
                  <w:sz w:val="20"/>
                  <w:u w:val="single"/>
                </w:rPr>
                <w:t>10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52">
              <w:r>
                <w:rPr>
                  <w:rStyle w:val="InternetLink"/>
                  <w:rFonts w:ascii="Times New Roman;serif" w:hAnsi="Times New Roman;serif"/>
                  <w:b w:val="false"/>
                  <w:color w:val="0000FF"/>
                  <w:sz w:val="20"/>
                  <w:u w:val="single"/>
                </w:rPr>
                <w:t>Item 1B. 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52">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55">
              <w:r>
                <w:rPr>
                  <w:rStyle w:val="InternetLink"/>
                  <w:rFonts w:ascii="Times New Roman;serif" w:hAnsi="Times New Roman;serif"/>
                  <w:b w:val="false"/>
                  <w:color w:val="0000FF"/>
                  <w:sz w:val="20"/>
                  <w:u w:val="single"/>
                </w:rPr>
                <w:t>Item 1C. 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52">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58">
              <w:r>
                <w:rPr>
                  <w:rStyle w:val="InternetLink"/>
                  <w:rFonts w:ascii="Times New Roman;serif" w:hAnsi="Times New Roman;serif"/>
                  <w:b w:val="false"/>
                  <w:color w:val="0000FF"/>
                  <w:sz w:val="20"/>
                  <w:u w:val="single"/>
                </w:rPr>
                <w:t>Item 2. 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58">
              <w:r>
                <w:rPr>
                  <w:rStyle w:val="InternetLink"/>
                  <w:rFonts w:ascii="Times New Roman;serif" w:hAnsi="Times New Roman;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61">
              <w:r>
                <w:rPr>
                  <w:rStyle w:val="InternetLink"/>
                  <w:rFonts w:ascii="Times New Roman;serif" w:hAnsi="Times New Roman;serif"/>
                  <w:b w:val="false"/>
                  <w:color w:val="0000FF"/>
                  <w:sz w:val="20"/>
                  <w:u w:val="single"/>
                </w:rPr>
                <w:t>Item 3.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61">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64">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64">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67">
              <w:r>
                <w:rPr>
                  <w:rStyle w:val="InternetLink"/>
                  <w:rFonts w:ascii="Times New Roman;serif" w:hAnsi="Times New Roman;serif"/>
                  <w:b w:val="false"/>
                  <w:color w:val="0000FF"/>
                  <w:sz w:val="20"/>
                  <w:u w:val="single"/>
                </w:rPr>
                <w:t>Part II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70">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70">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73">
              <w:r>
                <w:rPr>
                  <w:rStyle w:val="InternetLink"/>
                  <w:rFonts w:ascii="Times New Roman;serif" w:hAnsi="Times New Roman;serif"/>
                  <w:b w:val="false"/>
                  <w:color w:val="0000FF"/>
                  <w:sz w:val="20"/>
                  <w:u w:val="single"/>
                </w:rPr>
                <w:t>Item 6. [Reserved]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73">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76">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76">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15">
              <w:r>
                <w:rPr>
                  <w:rStyle w:val="InternetLink"/>
                  <w:rFonts w:ascii="Times New Roman;serif" w:hAnsi="Times New Roman;serif"/>
                  <w:b w:val="false"/>
                  <w:color w:val="0000FF"/>
                  <w:sz w:val="20"/>
                  <w:u w:val="single"/>
                </w:rPr>
                <w:t>Item 7A.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15">
              <w:r>
                <w:rPr>
                  <w:rStyle w:val="InternetLink"/>
                  <w:rFonts w:ascii="Times New Roman;serif" w:hAnsi="Times New Roman;serif"/>
                  <w:b w:val="false"/>
                  <w:color w:val="0000FF"/>
                  <w:sz w:val="20"/>
                  <w:u w:val="single"/>
                </w:rPr>
                <w:t>65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18">
              <w:r>
                <w:rPr>
                  <w:rStyle w:val="InternetLink"/>
                  <w:rFonts w:ascii="Times New Roman;serif" w:hAnsi="Times New Roman;serif"/>
                  <w:b w:val="false"/>
                  <w:color w:val="0000FF"/>
                  <w:sz w:val="20"/>
                  <w:u w:val="single"/>
                </w:rPr>
                <w:t>Item 8. 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18">
              <w:r>
                <w:rPr>
                  <w:rStyle w:val="InternetLink"/>
                  <w:rFonts w:ascii="Times New Roman;serif" w:hAnsi="Times New Roman;serif"/>
                  <w:b w:val="false"/>
                  <w:color w:val="0000FF"/>
                  <w:sz w:val="20"/>
                  <w:u w:val="single"/>
                </w:rPr>
                <w:t>66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05">
              <w:r>
                <w:rPr>
                  <w:rStyle w:val="InternetLink"/>
                  <w:rFonts w:ascii="Times New Roman;serif" w:hAnsi="Times New Roman;serif"/>
                  <w:b w:val="false"/>
                  <w:color w:val="0000FF"/>
                  <w:sz w:val="20"/>
                  <w:u w:val="single"/>
                </w:rPr>
                <w:t>Item 9. Changes in and Disagreements With Accountants on Accounting and Financial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05">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08">
              <w:r>
                <w:rPr>
                  <w:rStyle w:val="InternetLink"/>
                  <w:rFonts w:ascii="Times New Roman;serif" w:hAnsi="Times New Roman;serif"/>
                  <w:b w:val="false"/>
                  <w:color w:val="0000FF"/>
                  <w:sz w:val="20"/>
                  <w:u w:val="single"/>
                </w:rPr>
                <w:t>Item 9A.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08">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11">
              <w:r>
                <w:rPr>
                  <w:rStyle w:val="InternetLink"/>
                  <w:rFonts w:ascii="Times New Roman;serif" w:hAnsi="Times New Roman;serif"/>
                  <w:b w:val="false"/>
                  <w:color w:val="0000FF"/>
                  <w:sz w:val="20"/>
                  <w:u w:val="single"/>
                </w:rPr>
                <w:t>Item 9B.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11">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14">
              <w:r>
                <w:rPr>
                  <w:rStyle w:val="InternetLink"/>
                  <w:rFonts w:ascii="Times New Roman;serif" w:hAnsi="Times New Roman;serif"/>
                  <w:b w:val="false"/>
                  <w:color w:val="0000FF"/>
                  <w:sz w:val="20"/>
                  <w:u w:val="single"/>
                </w:rPr>
                <w:t>Item 9C. 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11">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17">
              <w:r>
                <w:rPr>
                  <w:rStyle w:val="InternetLink"/>
                  <w:rFonts w:ascii="Times New Roman;serif" w:hAnsi="Times New Roman;serif"/>
                  <w:b w:val="false"/>
                  <w:color w:val="0000FF"/>
                  <w:sz w:val="20"/>
                  <w:u w:val="single"/>
                </w:rPr>
                <w:t>Part III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20">
              <w:r>
                <w:rPr>
                  <w:rStyle w:val="InternetLink"/>
                  <w:rFonts w:ascii="Times New Roman;serif" w:hAnsi="Times New Roman;serif"/>
                  <w:b w:val="false"/>
                  <w:color w:val="0000FF"/>
                  <w:sz w:val="20"/>
                  <w:u w:val="single"/>
                </w:rPr>
                <w:t>Item 10. 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20">
              <w:r>
                <w:rPr>
                  <w:rStyle w:val="InternetLink"/>
                  <w:rFonts w:ascii="Times New Roman;serif" w:hAnsi="Times New Roman;serif"/>
                  <w:b w:val="false"/>
                  <w:color w:val="0000FF"/>
                  <w:sz w:val="20"/>
                  <w:u w:val="single"/>
                </w:rPr>
                <w:t>101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23">
              <w:r>
                <w:rPr>
                  <w:rStyle w:val="InternetLink"/>
                  <w:rFonts w:ascii="Times New Roman;serif" w:hAnsi="Times New Roman;serif"/>
                  <w:b w:val="false"/>
                  <w:color w:val="0000FF"/>
                  <w:sz w:val="20"/>
                  <w:u w:val="single"/>
                </w:rPr>
                <w:t>Item 11. 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23">
              <w:r>
                <w:rPr>
                  <w:rStyle w:val="InternetLink"/>
                  <w:rFonts w:ascii="Times New Roman;serif" w:hAnsi="Times New Roman;serif"/>
                  <w:b w:val="false"/>
                  <w:color w:val="0000FF"/>
                  <w:sz w:val="20"/>
                  <w:u w:val="singl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26">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26">
              <w:r>
                <w:rPr>
                  <w:rStyle w:val="InternetLink"/>
                  <w:rFonts w:ascii="Times New Roman;serif" w:hAnsi="Times New Roman;serif"/>
                  <w:b w:val="false"/>
                  <w:color w:val="0000FF"/>
                  <w:sz w:val="20"/>
                  <w:u w:val="single"/>
                </w:rPr>
                <w:t>113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29">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29">
              <w:r>
                <w:rPr>
                  <w:rStyle w:val="InternetLink"/>
                  <w:rFonts w:ascii="Times New Roman;serif" w:hAnsi="Times New Roman;serif"/>
                  <w:b w:val="false"/>
                  <w:color w:val="0000FF"/>
                  <w:sz w:val="20"/>
                  <w:u w:val="single"/>
                </w:rPr>
                <w:t>115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32">
              <w:r>
                <w:rPr>
                  <w:rStyle w:val="InternetLink"/>
                  <w:rFonts w:ascii="Times New Roman;serif" w:hAnsi="Times New Roman;serif"/>
                  <w:b w:val="false"/>
                  <w:color w:val="0000FF"/>
                  <w:sz w:val="20"/>
                  <w:u w:val="single"/>
                </w:rPr>
                <w:t>Item 14. Principal Accounting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32">
              <w:r>
                <w:rPr>
                  <w:rStyle w:val="InternetLink"/>
                  <w:rFonts w:ascii="Times New Roman;serif" w:hAnsi="Times New Roman;serif"/>
                  <w:b w:val="false"/>
                  <w:color w:val="0000FF"/>
                  <w:sz w:val="20"/>
                  <w:u w:val="single"/>
                </w:rPr>
                <w:t>117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35">
              <w:r>
                <w:rPr>
                  <w:rStyle w:val="InternetLink"/>
                  <w:rFonts w:ascii="Times New Roman;serif" w:hAnsi="Times New Roman;serif"/>
                  <w:b w:val="false"/>
                  <w:color w:val="0000FF"/>
                  <w:sz w:val="20"/>
                  <w:u w:val="single"/>
                </w:rPr>
                <w:t>Part IV</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38">
              <w:r>
                <w:rPr>
                  <w:rStyle w:val="InternetLink"/>
                  <w:rFonts w:ascii="Times New Roman;serif" w:hAnsi="Times New Roman;serif"/>
                  <w:b w:val="false"/>
                  <w:color w:val="0000FF"/>
                  <w:sz w:val="20"/>
                  <w:u w:val="single"/>
                </w:rPr>
                <w:t>Item 15. Exhibits,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38">
              <w:r>
                <w:rPr>
                  <w:rStyle w:val="InternetLink"/>
                  <w:rFonts w:ascii="Times New Roman;serif" w:hAnsi="Times New Roman;serif"/>
                  <w:b w:val="false"/>
                  <w:color w:val="0000FF"/>
                  <w:sz w:val="20"/>
                  <w:u w:val="single"/>
                </w:rPr>
                <w:t>119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41">
              <w:r>
                <w:rPr>
                  <w:rStyle w:val="InternetLink"/>
                  <w:rFonts w:ascii="Times New Roman;serif" w:hAnsi="Times New Roman;serif"/>
                  <w:b w:val="false"/>
                  <w:color w:val="0000FF"/>
                  <w:sz w:val="20"/>
                  <w:u w:val="single"/>
                </w:rPr>
                <w:t>Item 16. 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241">
              <w:r>
                <w:rPr>
                  <w:rStyle w:val="InternetLink"/>
                  <w:rFonts w:ascii="Times New Roman;serif" w:hAnsi="Times New Roman;serif"/>
                  <w:b w:val="false"/>
                  <w:color w:val="0000FF"/>
                  <w:sz w:val="20"/>
                  <w:u w:val="single"/>
                </w:rPr>
                <w:t>121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44">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contains forward-looking statements within the meaning of the U.S. Private Securities Litigation Reform Act of 1995, Section 27A of the Securities Act of 1933, as amended, or the Securities Act, and Section 21E of the Securities Exchange Act of 1934, as amended, or the Exchange Act, which statements involve substantial risks and uncertainties. All statements other than statements of historical facts contained in this Annual Report on Form 10-K, including, but not limited to, statements regarding our future results of operations, financial condition, business strategy and plans, efforts related to our strategy, our ability to continue as a going concern, sustainability-related efforts, market growth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and uncertainties, including the factors described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applicable securities laws. We may not actually achieve the plans, intentions, or expectations disclosed in or expressed by,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Annual Report on Form 10-K to “we,” “us,” “our,” “our company,” and “Allbirds” refer to Allbirds, Inc. and its subsidiaries. The Allbirds design logo, “Allbirds,” and our other registered or common law trademarks, service marks, or trade names appearing in this Annual Report on Form 10-K are the property of Allbirds, Inc. Other trade names, trademarks, and service marks used in this Annual Report on Form 10-K are the property of their respective owners. Solely for convenience, we have omitted the ® and ™ designations, as applicable, for the trademarks we name in this Annual Report on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announce material information to the public through a variety of means, including filings with the U.S. Securities and Exchange Commission, or SEC, press releases, public conference calls, our website (allbirds.com), the investor relations section of our website (ir.allbirds.com), our Instagram account (@allbirds), our X account (@allbirds), our LinkedIn account (linkedin.com/company/allbirds), and our Facebook page (@weareallbirds). We use these channels to communicate with investors and the public about our company, our products, and other matters. Therefore, we encourage investors, the media, and others interested in our company to review the information we make public in these locations, as such information could be deemed to be material information. Information contained on, or that can be accessed through, our website or social media channels is not incorporated by reference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Allbirds is a global lifestyle brand that innovates with naturally derived materials to make better footwear and apparel products in a better way, while treading lighter on our planet.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began our journey in 2015 with three fundamental beliefs about the emerging generation of consumers: first, these consumers recognize that climate change is an existential threat to the human race; second, these consumers connect their purchase decisions with their impact on the planet, demanding more from businesses; and third, these consumers do not want to compromise between looking good, feeling good, and doing good. We became a public benefit corporation, or PBC, under Delaware law and earned our B Corporation, or B Corp, certification in 2016, codifying how we take into account the impact our actions have on all of our stakeholders, including the environment, our flock of employees, communities, consumers, and investors. Our strong brand equity is fueled by our differentiated footwear and apparel products created by sustainability-driven innovation.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Our Products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product development engine is a fully integrated ecosystem, bringing together strategy, sustainability, design, sourcing, development, and production. With teams operating in our U.S. headquarters and alongside our global manufacturing and supply chain innovation partners, we unite cutting-edge design with comfort to create distinctly modern, products.</w:t>
      </w:r>
    </w:p>
    <w:p>
      <w:pPr>
        <w:pStyle w:val="TextBody"/>
        <w:bidi w:val="0"/>
        <w:spacing w:lineRule="auto" w:line="288" w:before="200" w:after="283"/>
        <w:jc w:val="both"/>
        <w:rPr/>
      </w:pPr>
      <w:r>
        <w:rPr>
          <w:rFonts w:ascii="Times New Roman;serif" w:hAnsi="Times New Roman;serif"/>
          <w:b w:val="false"/>
          <w:color w:val="000000"/>
          <w:sz w:val="20"/>
        </w:rPr>
        <w:t>Guided by modern design principles and sustainable materials, our approach to footwear and apparel prioritizes longevity, versatility, and responsible innovation. We offer a thoughtfully curated range of lifestyle products for men and women, each crafted with our core values at the forefront. Our goal is to create products that endure—through both responsible craftsmanship and the unmistakable Allbirds aesthetic</w:t>
      </w:r>
      <w:r>
        <w:rPr>
          <w:rFonts w:ascii="Arial;sans-serif" w:hAnsi="Arial;sans-serif"/>
          <w:b w:val="false"/>
          <w:color w:val="000000"/>
          <w:sz w:val="24"/>
        </w:rPr>
        <w:t xml:space="preserve">. </w:t>
      </w:r>
      <w:r>
        <w:rPr>
          <w:rFonts w:ascii="Times New Roman;serif" w:hAnsi="Times New Roman;serif"/>
          <w:b w:val="false"/>
          <w:color w:val="000000"/>
          <w:sz w:val="20"/>
        </w:rPr>
        <w:t>Our products contain natural and recycled materials that are both more sustainable and have tangible benefits for our customers, such as comfort, temperature regulation, and odor control. Some of these include superfine ZQ certified merino wool, tree fibers, and sugarcane.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Footwear is the foundation of our brand and represents the majority of our revenue. Footwear consists of both our core franchises and new product styles. Our deep expertise in footwear and materials research also informs our secondary apparel offerings, from classic tees and sweats to socks and underwear, ensuring the same commitment to comfort, sustainability, and timeless design across all categories.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Marketing Strategy and Brand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Allbirds, we believe in the power of balance—between nature and innovation, sustainability and style, performance and comfort. Inspired by Mother Nature and human nature, our brand exists to help people tread lighter on the planet while living more fully in it.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With a vertically integrated approach, we maintain a direct relationship with our customers, allowing us to pair an organic marketing strategy fueled with elevated valuable content, with a rich data ecosystem. This enables us to cultivate a balanced and diversified marketing funnel, which begins by earning our consumers attention and is consistently optimizing return on investment.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increasing brand awareness and consumer touchpoints through the following marketing initiatives: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Extending our reach and connecting with our customers through digital and performance marketing, social media, CTV and other media, and customer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Spreading our message through storytelling that celebrates human nature, word-of-mouth, thought leadership, public relations campaigns, partnerships, and community.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By harnessing the best of nature; human and from the earth, we continue to inspire a movement toward a more sustainable, well-balanced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Direct Business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we reach our customers primarily through our direct business, a digitally-led vertical retail distribution strategy, which combines our eCommerce site and third-party marketplace site, so we can make a strong connection with our customers and meet them where they are, delivering both value and convenience. Our typical customers live an active and curious lifestyle, care about health and well-being, are willing to pay for premium products, frequently purchase products online, live in urban center settings, and appreciate socially conscious brands. In addition to communicating more effectively with our customers, these insights allow us to meet customers’ needs through the creation of new products and enhancements to our existing lines.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eCommerce site showcases our product portfolio and our branded content, including information on our natural materials and sustainability. The seamless online experience from search to order to fulfillment creates the convenient shopping experience that our customers desire.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our physical retail channel consisted of 23 company-operated stores in the United States and United Kingdom, with the majority in the United States. We closed 10 retail stores in 2025 (nine in the United States and one in the United Kingdom) and 15 retail stores in the United States in 2024. During the first quarter of 2026, we closed all of our remaining full-price stores in the United States. These actions are intended to allow us to focus on dedicating resources toward our e-commerce platform, wholesale partnerships and international distributorships, all of which offer greater reach, flexibility and operating leverage.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Third-Party Distribution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direct business, we selectively choose distributor and third-party retail partners internationally and in the United States to sell our products.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distributor strategy includes appointing exclusive distributors in certain international markets that sell products purchased from us across eCommerce, brick and mortar, and wholesale channels in their respective markets. As of December 31, 2025, we had international distributor partners covering more than 90 countries, including Canada, China and Japan. We may add additional distributor partners covering additional countries in the future. Our wholesale strategy includes partnering with select retailers in the United States who purchase our products and sell them via their own eCommerce sites and retail stores, which increases our brand awareness and reaches customers where they are.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Technology, Supply Chain and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leverage technology across channels which enables us to rely on partners, such as Shopify, to more effectively scale. To create our digital customer experience, we leverage a common core set of application programming interfaces (“APIs”) and tools that enable localization and speed-to-market. We have a sophisticated data infrastructure and toolset that allows our teams to make informed decisions across key aspects of the business, including marketing, customer relationship management, inventory planning and logistics, and back office functions. Additionally, to protect and secure sensitive data such as customer information, we employ multi-factor authentication, a suite of security tools, systems monitoring and alerting, audit logs, and controls across our major systems, corporate devices, and business processes.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unique combination of sourcing, manufacturing, and distribution capabilities create a foundation from which we can continue to innovate and scale across the globe. Strong relationships with our suppliers ensure our relatively small supply chain can make a difference in the drive toward innovation and lighter impact on the environment.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approach to sourcing and manufacturing products, many of which include innovative natural materials, includes careful selection of a small group of Tier 1 factories as our partners. We believe this generates high quality inputs and traceability, helping ensure that our supply chain remains aligned with our brand values. Because of the high standards we promise our consumers, we both partner with certification bodies and do our own work to ensure our suppliers are meeting standards for quality, ethical practices, and environmental sustainability. We require that all of our suppliers sign our Supplier Code of Conduct, which requires them to operate in full compliance with the applicable laws, rules, and regulations of the countries in which they operate and certain International Labour Organization Core Labor Standards.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deep relationships with certain suppliers by directly partnering on development, commercialization, manufacturing, and quality from ideation through production, and have embedded our employees within some key factories to oversee the production process. Our relationship-based approach has helped us be nimble and drive flexibility and agility to react to changes in macroeconomic conditions, customer demand, or internal priorities.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footwear products are primarily manufactured in Vietnam. Our apparel and other non-footwear products are primarily manufactured in the United States, China, Peru, and Mexico.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distribution network, comprised of three primary distribution centers in the United States and the United Kingdom, helps us prioritize customer experience with quick and efficient pick, pack, and ship activities, including retail fulfillment and returns management. We rely solely on third-party logistics providers for these distribution centers, as well as last-mile carriers to distribute finished products from our warehouse locations to our stores and individual orders directly to consumers.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in which we primarily operate in is highly competitive. Our competitors include athletic and leisure footwear companies, and athletic and leisure apparel companies. This competition takes place both in physical retail locations as well as online. While this market is highly fragmented, many of our competitors are larger, with strong worldwide brand recognition, and have substantially greater resources than us. In addition, access to offshore manufacturing and the growth of digital have made it easier for new companies to enter the markets in which we compete, further increasing competition in the footwear and apparel industries.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we are well-positioned to compete in this industry given our unique combination of innovative materials and products, purpose-driven lifestyle brand positioning, deep connection with our community of customers, global distribution offering, and infrastructure ready for scale.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Public Benefit Corporation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demonstration of our long-term commitment to environmental conservation, our board of directors and stockholders elected in February 2016 to amend our certificate of incorporation to become a PBC under Delaware law. Under Delaware law, a PBC is required to identify in its certificate of incorporation the public benefit or benefits it will promote and its directors have a duty to manage the affairs of the corporation in a manner that balances the pecuniary interests of the corporation’s stockholders, the best interests of those materially affected by the corporation’s conduct, and the specific public benefit or public benefits identified in the corporation’s certificate of incorporation. A PBC is also required to assess its benefit performance internally and to disclose to its stockholders at least biennially a report detailing the corporation’s success in meeting its public benefit objectives.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provided in our certificate of incorporation, the public benefit that we promote, and pursuant to which we manage our company, is environmental conservation.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Certified B Corporation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not required by Delaware law or our PBC status, we have elected to have our social and environmental performance, accountability, and transparency assessed against the proprietary criteria established by B Lab, Inc., or B Lab, an independent non-profit organization. We were first designated as a B Corp in 2016. The term “B Corp” does not refer to a particular form of legal entity, but instead refers to a company that has been certified as meeting the social and environmental performance, accountability, and transparency standards set by B Lab.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be designated as a B Corp, companies are required to undertake a comprehensive and objective assessment of their positive impact on society and the environment. The assessment evaluates how a company’s operations and business model impacts its workers, customers, suppliers, community, and the environment using a 200-point scale. While the assessment varies depending on a company’s size (number of employees), sector, and location, representative indicators in the assessment include payment above a living wage, employee benefits, stakeholder engagement, supporting underserved suppliers, and environmental benefits from a company’s products or services. After completing the assessment, B Lab will evaluate the company’s score to determine if it meets the requirements for certification using a process described on B Lab’s website. Historically, the median score for companies evaluated by B Lab has been 50.9, compared to our latest recertification score of 96.5 in 2023, which increased from our previous scores of 89.4 in 2020 and 81.9 in 2016, despite the growing size and complexity of our business during these years.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Acceptance as a B Corp and continued certification is at the sole discretion of B Lab. To maintain our certification, we are required to update our assessment and provide documentation supporting our updated score with B Lab every three years. In June 2023, we completed our updated assessment for recertification and scored 96.5.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Environmental, Social, and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200" w:after="283"/>
        <w:jc w:val="both"/>
        <w:rPr/>
      </w:pPr>
      <w:r>
        <w:rPr>
          <w:rFonts w:ascii="Times New Roman;serif" w:hAnsi="Times New Roman;serif"/>
          <w:b w:val="false"/>
          <w:color w:val="000000"/>
          <w:sz w:val="20"/>
        </w:rPr>
        <w:t xml:space="preserve">We believe that the effects of climate change are a significant threat and one of the main issues facing humanity and the global economy. Climate change is a complex issue that can be summarized simply: the climate is changing because humans are releasing too many greenhouse gasses into the atmosphere. The 2015 Paris Agreement set the goal to limit global warming to well below 2° Celsius, preferably to 1.5° Celsius, compared to pre-industrial levels. Under its current trajectory, the fashion industry is expected to fall short of meeting the 1.5° Celsius target by 50%, according to a 2020 McKinsey and Global Fashion Agenda report. The pace of change must accelerate in order for the industry to be compatible with planetary boundaries, and we believe Allbirds offers a blueprint for how to get there. Our approach to addressing the climate impact of our business is scientific and data driven—we first </w:t>
      </w:r>
      <w:r>
        <w:rPr>
          <w:rFonts w:ascii="Times New Roman;serif" w:hAnsi="Times New Roman;serif"/>
          <w:b/>
          <w:color w:val="000000"/>
          <w:sz w:val="20"/>
        </w:rPr>
        <w:t>measure</w:t>
      </w:r>
      <w:r>
        <w:rPr>
          <w:rFonts w:ascii="Times New Roman;serif" w:hAnsi="Times New Roman;serif"/>
          <w:b w:val="false"/>
          <w:color w:val="000000"/>
          <w:sz w:val="20"/>
        </w:rPr>
        <w:t xml:space="preserve">, then </w:t>
      </w:r>
      <w:r>
        <w:rPr>
          <w:rFonts w:ascii="Times New Roman;serif" w:hAnsi="Times New Roman;serif"/>
          <w:b/>
          <w:color w:val="000000"/>
          <w:sz w:val="20"/>
        </w:rPr>
        <w:t>reduce</w:t>
      </w:r>
      <w:r>
        <w:rPr>
          <w:rFonts w:ascii="Times New Roman;serif" w:hAnsi="Times New Roman;serif"/>
          <w:b w:val="false"/>
          <w:color w:val="000000"/>
          <w:sz w:val="20"/>
        </w:rPr>
        <w:t xml:space="preserve">, and also support the </w:t>
      </w:r>
      <w:r>
        <w:rPr>
          <w:rFonts w:ascii="Times New Roman;serif" w:hAnsi="Times New Roman;serif"/>
          <w:b/>
          <w:color w:val="000000"/>
          <w:sz w:val="20"/>
        </w:rPr>
        <w:t>removal</w:t>
      </w:r>
      <w:r>
        <w:rPr>
          <w:color w:val="000000"/>
        </w:rPr>
        <w:t xml:space="preserve"> </w:t>
      </w:r>
      <w:r>
        <w:rPr>
          <w:rFonts w:ascii="Times New Roman;serif" w:hAnsi="Times New Roman;serif"/>
          <w:b w:val="false"/>
          <w:color w:val="000000"/>
          <w:sz w:val="20"/>
        </w:rPr>
        <w:t xml:space="preserve">of emissions from the atmosphere.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Allbirds measures CO2e produced in making our products and running our business to both inform product design and development and enable us to focus on areas with the most impact. Beginning in 2024, we partnered with Carbonfact, a platform built for the fashion industry, to measure our impact. To build a business that is compatible with less than 1.5° Celsius warming, we have had a plan in place since 2020 to dramatically reduce the per unit carbon footprint for each of our products. Our plan has three strategic priorities: Regenerative Agriculture, Renewable Materials, and Responsible Energy. Within our three priorities, we outlined measurable commitments that collectively could yield a 50% reduction in the per unit carbon footprint for each of our products by the end of 2025, relative to what our average carbon emissions would be per unit in 2025 without any further action to limit emissions. Reporting for 2025 is not yet available. Our strategy is aligned to the United Nations’ Sustainable Development Goals, including affordable and clean energy, responsible consumption and production, climate action, and life on land, among others. From 2019 to 2025, we supported offset projects that either avoid or remove emissions, as we work to reduce the carbon footprint of our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Social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People (Our Flock)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thriving culture and talented employees, also known as our “flock,” have been a critical factor in our success to date and will be critical to our success in the future. Further, as a PBC, employees are an important stakeholder in our business as are the communities that extend beyond our walls.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362 ’birds, approximately 88% of whom were located in the United States. Approximately 39% of our ’birds worked in one of our corporate functions, with the remainder working in our retail stores and customer experience. We also engage contractors and consultants from time to time and hire seasonal employees in retail and customer experience, primarily during the peak holiday selling season. None of our employees are represented by a labor union with respect to his or her employment. In certain countries in which we operate, we are subject to, and comply with, local labor law requirements, which include works councils and industry-wide collective bargaining agreements. We have not experienced any work stoppages, and we consider our relations with our employees to be good.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invested substantial time and resources in building our team. We are highly dependent on our flock and it’s crucial that we continue to attract, develop and retain valuable employees. To facilitate talent attraction, development, and retention we are committed to creating a safe and supportive workplace environment where everyone feels valued. We believe our success as a company relies on implementing effective practices that foster opportunities for our employees to grow and develop in their careers. We also sponsor employee resource groups that bring employees together to support both our business and each other through various programs, educational opportunities, and community engagement. </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Talent Development and Engagement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enable the flock to operate at their highest potential by building critical skills and leadership capabilities across all levels. We train our retail and customer support teams to deliver incredible customer experiences and drive sales, while maintaining our vision and localizing content through collaborative review processes.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implemented critical organizational structures and managerial capabilities, including building an executive leadership team with deep expertise. We conduct annual surveys to collect feedback and understand employee sentiment and engagement.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Total Rewards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rewards strategy is designed to encourage employees to live our values while helping us to achieve company sustainability goals. For example, we provide our full-time employees with 16 hours of paid time off each year specifically for volunteer activities performed during working hours.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too long, the footwear and apparel industry has offered customers a false trade-off between sustainable products and great products. We offer great products that are also sustainable, and make it easy for our customers to understand the impact of the products they buy. In this way, we believe we empower our customers to make more informed purchasing decisions.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Community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core tenet of our B Corp status is supporting the communities in which we operate. As an example, we have a long-standing partnership with Soles4Souls. When shoes are returned to Allbirds, those that can’t go back onto the shelf are donated to Soles4Souls. Soles4Souls works with partner organizations in various communities in the U.S. as well as developing countries.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status as a PBC and certification as a B Corp, we also focus on the following areas of governance: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Oversight and Our Board of Directors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regularly require that ESG issues are represented at the highest level of decision making. Management reports on ESG issues to our board of directors on a periodic basis. The sustainability, nomination, and governance committee of our board of directors is responsible for overseeing ESG matters.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Dual Class Common Stock Structure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the beginning of our history, our founders have been singularly focused on building a sustainable business that demonstrates profitable growth because it is sustainable. This is also true for the stockholders who have partnered with us since the early stages of our journey. We have prioritized protecting the ability of our founders and our early financial partners to continue driving toward that vision by implementing a dual class common stock structure that is designed to allow for a thoughtful calibration of long-term objectives with short-term demands.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ESG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PBC status, we report to stockholders on our investor relations website, on at least a biennial basis, an assessment of our progress towards our stated public benefit of environmental conservation and general PBC objectives, known as our “Flight Status”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trademarks, copyrights, trade secrets, design and utility patents, license agreements, confidentiality procedures, non-disclosure agreements, employee non-disclosure and invention assignment agreements, and other legal and contractual rights to establish and protect our proprietary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registered domain names for websites that we use in our business, such as allbirds.com and similar variations. Further, we have developed internal practices around ongoing trademark and design patent registration pursuant to which we register brand names and product names, product designs, taglines, and logos to the extent we determine appropriate and cost-effective.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control access to and use of our proprietary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For additional information, see the section titled “Risk Factors—Risks Related to Intellectual Property, Information Technology, and Data Security and Privacy.”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Government Regulations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and the other jurisdictions in which we operate, we are subject to labor and employment laws, laws governing advertising, privacy and data security, product labeling and compliance, safety regulations, and other laws, including consumer protection regulations that apply to retailers and/or the promotion and sale of merchandise and the operation of our retail stores, manufacturing-related facilities and distribution centers. Our products, which are predominantly manufactured in countries other than the United States and which are sold in countries across the world, may be subject to tariffs, treaties, and various trade agreements, as well as laws affecting the importation of consumer goods. We monitor changes in these laws and believe we are in material compliance with applicable laws.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affected by general seasonal trends common to the retail footwear and apparel industry, with sales typically lower in the first quarter of the year and typically higher during the end-of-year holiday period that falls within our fourth quarter.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were incorporated in Delaware in May 2015 as Bozz, Inc. In December 2015, we changed our name to Allbirds, Inc., and we became a Delaware PBC in February 2016. Our principal executive offices are located at 530 Washington St, San Francisco, California 94111. Our telephone number is (628) 225-4848. Our U.S. website address is allbirds.com. Information contained on, or that can be accessed through, our website is not incorporated by reference in this Annual Report on Form 10-K.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or furnish with the SEC electronically. Copies of our reports on Form 10-K, Form 10-Q, Form 8-K, and amendments to those reports may also be obtained, free of charge, electronically through our investor relations website located at www.ir.allbirds.com as soon as reasonably practical after we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included in Part II, Item 8, and the section titled “Management’s Discussion and Analysis of Financial Condition and Results of Operations” included in Part II, Item 7.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Risk</w:t>
      </w:r>
      <w:r>
        <w:rPr>
          <w:color w:val="000000"/>
        </w:rPr>
        <w:t xml:space="preserve"> </w:t>
      </w:r>
      <w:r>
        <w:rPr>
          <w:rFonts w:ascii="Times New Roman;serif" w:hAnsi="Times New Roman;serif"/>
          <w:b/>
          <w:color w:val="000000"/>
          <w:sz w:val="20"/>
        </w:rPr>
        <w:t>Factors</w:t>
      </w:r>
      <w:r>
        <w:rPr>
          <w:color w:val="000000"/>
        </w:rPr>
        <w:t xml:space="preserve"> </w:t>
      </w:r>
      <w:r>
        <w:rPr>
          <w:rFonts w:ascii="Times New Roman;serif" w:hAnsi="Times New Roman;serif"/>
          <w:b/>
          <w:color w:val="000000"/>
          <w:sz w:val="20"/>
        </w:rPr>
        <w:t>Summary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because our business is subject to numerous risks and uncertainties, as more fully described below in this Annual Report on Form 10-K. Below is a summary of these risks, any one of which could materially adversely affect our business, financial condition, results of operations, and prospects:</w:t>
      </w:r>
    </w:p>
    <w:p>
      <w:pPr>
        <w:pStyle w:val="TextBody"/>
        <w:bidi w:val="0"/>
        <w:spacing w:before="0" w:after="0"/>
        <w:jc w:val="both"/>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significant net losses since inception and anticipate that we will continue to incur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There is substantial doubt about our ability to continue as a going concern.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will require additional capital to support business growth, and this capital might be unavailable or might be available only by diluting existing stockholders.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successfully execute on our long-term growth strategy, including efforts to maintain or grow our current revenue levels, reduce our costs, or accurately forecast demand and supply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attract new customers, retain existing customers, or maintain or increase sales to customers, our business, financial condition, results of operations, and growth prospects will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operating results may fluctuate significantly and our past operating results may not be a good indication of future performance.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reliance on third-party distributors for international sales may negatively impact our operating results and brand value.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uncertainty in our key markets may affect consumer purchases of discretionary items, which has affected and may continue to adversely affect demand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international operations expose us to various risks, such as. foreign currency exchange rate fluctuations, tariffs or global trade wars, trade restrictions, shipping channel constraints, and changing tax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maintain and enhance the value and reputation of our brand and/or counter any negative publicity, we may be unable to sell our products, which would harm our business and could materially adversely affect our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in a highly competitive market and the size and resources of some of our competitors may allow them to compete more effectively than we can, which could result in a loss of our market share and a decrease in our net revenue and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focus on using sustainable, high-quality materials and environmentally friendly manufacturing processes and supply chain practices may increase our cost of revenue and hinder our revenue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Climate change and increased focus by governments, organizations, customers, and investors on sustainability issues, including those related to climate change and socially responsible activities, may adversely affect our reputation, business, and financial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anticipate product trends and consumer preferences, or we fail in our technical and materials innovation to successfully develop and introduce new high-quality products, we may not be able to maintain or increase our revenue and profits.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utilize a range of marketing, advertising, and other initiatives to increase existing customers’ spend and to acquire new customers; if the costs of advertising or marketing increase, or if our initiatives fail to achieve their desired impact, we may be unable to grow the business profitably.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is subject to the risk of manufacturer concentration and our suppliers’ and manufacturers’ ability to provide materials for, and to produce,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significant amount of long-lived assets, which are assessed for impairment whenever events or changes in circumstances indicate that their carrying amount may not be recoverable; additionally, we may never realize the full value of our long-lived assets, causing us to record material impairment charges.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a limited number of retail locations and are subject to risks associated with commercial real estate and retail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depends on our ability to maintain a strong community of engaged customers, including through the use of social media. We may be unable to maintain and enhance our reputation and brand if we experience negative publicity, or otherwise fail to meet our customers’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financial results may be adversely affected if substantial investments in businesses and operations, including in our retail stores, fail to produce expected returns.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risks related to our ESG activities and disclosures, and our reputation and brand could be harmed if we fail to meet our public sustainability targets and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of our contractors or our licensees’ contractors to comply with our supplier code of conduct, contractual obligations, local laws, and other standards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fluctuating cost of raw materials could increase our cost of revenue and cause our results of operations and financial condition to suffer.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protect our intellectual property rights, our trademark and other proprietary rights may conflict with the rights of others, and we may not be able to acquire, use, or maintain our marks and domain names, any of which could harm our brand, business,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rely heavily on our information technology systems, as well as those of our third-party vendors, business partners, and service providers, for our business to effectively operate and to safeguard confidential information; any significant failure, inadequacy, interruption, or cybersecurity incident could adversely affect our business, financial condition, and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several unique risks as a result of our status as a Delaware public benefit corporation, or PBC, and certified B Corporation, or B Corp, including that our board of directors’ duty to balance various interests and our public benefit purpose may result in actions that do not maximize stockholder value.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satisfy all applicable requirements of Nasdaq (including minimum closing bid price requirements), our Class A common stock could be delisted, which could adversely affect the liquidity of our Class A common stock and cause the market price of our Class A common stock to decrease.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Condition, Business, Brand, Products, and Industry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incurred significant net losses since inception and anticipate that we will continue to incur losses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not profitable and have incurred significant losses since inception. We incurred a net loss of $77.3 million and $93.3 million and for the years ended December 31, 2025 and December 31, 2024, respectively, and net cash used in operating activities was $55.1 million for the year ended December 31, 2025. We expect to continue to incur significant losses and negative cash flows from operating activities in the future. In order to have sufficient liquidity to support our operations during the next twelve months, we will need to continue to deliver on our business plan, strategically use our existing debt and equity facilities, reduce costs, and continue to work with our advisers to secure supplemental debt or equity financing or engage in strategic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achieve profitability depends on our ability to generate sufficient revenue to exceed our operating expenses. Even if we achieve profitability, we may not be able to sustain or increase profitability on a quarterly or annual basis.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maintain sufficient liquidity for current operations or achieve and maintain profitability in the future could negatively impact the value of our common stock and our ability to raise capital, meet our business plan, take advantage of future opportunities, or continue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There is substantial doubt about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the Company will continue as a going concern. This assumes continuing operations and the realization of assets and liabilities in the normal course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noted above, we are not profitable and have incurred significant losses since inception and expect to continue to incur significant losses and negative cash flows from operating activities in the future. As a result of our evaluation of the Company’s liquidity for the next twelve months, we have included a discussion about our ability to continue as a going concern in our consolidated financial statements for the year ended December 31, 2025. See “Liquidity and Capital Resources in Part II, Item 7, and Note 2 to our consolidated financial statements In Part II, Item 8 included in this Annual Report on Form 10-K for additional information regarding our liquidity and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will require additional capital to support business growth, and this capital might be unavailable or might be available only by diluting existing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require additional funds to support our ongoing operations and any future growth initiatives. Our future capital requirements will depend on many factors, including our rate of revenue growth, our cash burn rate, the timing and extent, if any, of international expansion efforts and other growth initiatives, the expansion of our marketing activities and overall economic conditions. To the extent that current and anticipated future sources of liquidity are insufficient to fund our current or future business activities and requirements, we will need to engage in equity or debt financings to secure additional funds. Recently, there has been volatility in and disruptions to the global economy, including the equity and debt financial markets. Any such volatility in and disruptions to the equity or debt markets, or further deterioration of such markets, including as a result of political unrest or war, may make any necessary equity or debt financing more difficult to obtain in a timely manner or on favorable terms, more costly or more dilutive. We may face additional challenges in securing financing on acceptable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we filed a registration statement on Form S-3 (“Shelf Registration Statement”) with the SEC, pursuant to which, we may offer from time to time up to an aggregate of $100 million of securities, including any combination of Class A common stock, preferred stock, debt securities, warrants and units. On the same date, we filed a prospectus supplement relating to a Class A Common Stock Sales Agreement with TD Securities (USA) LLC (“TD Cowen”), under which we may offer and sell shares of our Class A common stock having an aggregate sales price of up to $50 million (subject to the “baby shelf” limitation in General Instruction I.B.6 of Form S-3), from time to time, through an “at the market offering” (“ATM”) program under which TD Cowen or its affiliates will act as sales agent. As of December 31, 2025, we have sold 386,289 shares of our common stock under the ATM Sales Agreement for aggregate gross proceeds of $1.7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unable to successfully execute on our long-term growth strategy, including efforts to maintain or grow our current revenue levels, reduce our costs, or accurately forecast demand and supply for our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Successfully executing our long-term growth and profitability strategy and maintaining our revenue levels or growing them in the future will depend on many factors, including our ability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brand awareness and drive efficient customer acquisition through brand marketing and leveraging third party stores;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 growth within our existing customer base and increase closet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navigate the transition of our operating model following the closure of our retail store fleet, and manage the infrastructure of our remaining U.S. outlets;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grow our product innovation platform while understanding the market opportunity for new product styles;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materialize our product and brand initiatives in a timely fashion;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accurately forecast demand for our product and implement a more focused product strategy;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 focusing on using sustainable materials.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cannot guarantee that we will successfully implement all of these initiatives or that we will achieve or sustain the expected benefits, or that the benefits, even if achieved, will be adequate to meet our medium- or long-term financial and operational expectations. We may also experience additional unexpected costs and negative impacts on our cash flows from operations and liquidity, employee attrition and adverse effects on employee morale,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of these initiatives or experience additional unexpected costs in connection with these initiatives, our business, financial condition, results of operations, and cash flows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attract new customers, retain existing customers, or maintain or increase sales to customers, our business, financial condition, results of operations, and growth prospects will be harmed.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upon widespread adoption of our products by our customers. In order to attract new customers and continue to expand our customer base, we must appeal to and attract customers who identify with our comfortable and sustainable footwear and apparel products. If the number of people who are willing to purchase our products does not continue to increase, if we fail to deliver a high quality shopping experience, if our third-party arrangements are not successful, if we make products that our customers do not buy in sufficient quantities, or if our current or potential future customers are not convinced that our products are superior to alternatives, then our ability to retain existing customers, acquire new customers, and grow our business may be harmed.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made significant investments in enhancing our brand and attracting new customers, and we expect to continue to make significant investments to promote our products, including in connection with our focused product strategy. Such campaigns can be expensive and may not result in new customers or increased sales of our products. Further, as our brand becomes more widely known, we may not attract new customers or increase our net revenue. If we are unable to acquire new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our future success depends in part on our ability to increase sales to our existing customers over time, as a significant portion of our net revenue is generated from sales to existing customers, particularly those existing customers who are highly engaged and make frequent and/or large purchases of the products we offer. If existing customers no longer find our products appealing or are not satisfied with our customer service, or if we are unable to timely update our products to meet current trends and customer demands, our existing customers may not make purchases, or if they do, they may make fewer or smaller purchases in the future.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attract new customers or our existing customers decrease their spending on the products we offer or fail to make repeat purchases of our products, our business, financial condition, results of operations, and growth prospects will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and our past operating results may not be a good indication of future performance.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varied, and could in the future, vary significantly from period to period as a result of various factors, some of which are outside of our control. Comparing our results of operations on a period-to-period basis may not be meaningful, and our past results should not be relied upon as an indication of our future performance.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were founded in May 2015 and first sold our products in 2016. As a result of our relatively limited operating history as well as our evolving business strategies, our ability to accurately forecast our future results of operations is limited and subject to a number of uncertainties, including our ability to plan for and model future growth. Our historical revenue growth has been inconsistent, was derived from a more concentrated number of geographies, and should not be considered indicative of our future performance. Further, in future periods, our revenue growth could slow or our revenue could decline for a number of reasons, including changes in our business operations and strategy (such as our transition to a distributor model in a given territory), a decline in demand for our products, an increase in competition, a decrease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growth of our overall market, our entry into new geographies where our prior operating history is less relevant or predictive, or our failure, for any reason, to continue to capitalize on growth opportunities. In addition, we regularly release new products and it is difficult to predict the commercial success of newly released products. For example, we have, and may in the future, recognize non-cash inventory write-downs in our consolidated statement of operations and comprehensive loss, primarily relating to products which we are unable to sell through as planned.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2023 and 2024, we transitioned our operations in South Korea, Canada, New Zealand and China to a distributor model, which resulted in losses on the sale of certain net assets based on the difference between net book value and consideration received. These transitions, along with other changes to our business model, contribute to the variability of our historical results and limit the comparability of our results across periods. We have also encountered, and will continue to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due to (i) changes in our market or the geographies where we operate and where we sell our products or (ii) changes to our business models, or if we do not address these risks successfully, our operating and financial results could differ materially from our expectations, and our business could suffer. The impact of one or more of the foregoing and other factors may cause our results of operations to vary significantly. As such, period-over-period comparisons of our results of operations may not be meaningful and should not be relied upon as an indication of future performance.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Because our business model has evolved significantly in recent years, including our transition to a distributor model in certain territories and reductions to our retail footprint, historical results may have limited predictive value for evaluating our current business and future prospects. This evolution, combined with the rapidly evolving nature of the markets in which we sell our products,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Fluctuations in our results of operations may be particularly pronounced in the current economic environment due to the uncertainty caused by consumer spending patterns, inflationary pressures, overall economic conditions, and geopolitical events, such as wars in Iran, Ukraine and the Middle East.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Fluctuations in our results of operations may cause those results to fall below our financial guidance or other projections, or the expectations of analysts or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Credit Agreement contains restrictions that limit our flexibility in operating our business. </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30, 2025, we entered into a secured $50.0 million revolving credit agreement with Second Avenue Capital Partners LLC (the “Credit Agreement”). Our Credit Agreement is an asset-backed loan agreement subject to a borrowing base formula, which may restrict the amount available to borrow based on the value of our eligible assets. The Credit Agreement imposes significant operating and financial restrictions, including these borrowing base limitations. These covenants may limit our ability and the ability of our subsidiaries, under certain circumstances, to, among other things: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create or incur liens;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engage in certain fundamental changes, including mergers or consolidations;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sell or transfer assets;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make acquisitions, investments, loans or advances;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pay or modify the terms of certain indebtedness; and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engage in certain transactions with affiliates;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Credit Agreement also contains certain customary affirmative and negative covenants and events of default, as well as a financial maintenance covenant. As a result of these covenants and restrictions, we may be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 Non-compliance with one or more of these covenants could result in our debt, if any, becoming immediately due and payable, and the termination of the lenders’ commitments under our credit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reliance on third-party distributors for international sales may negatively impact our operating results and brand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transitioned our international go-to-market strategy from a direct model to a distributor model in all markets, except the United Kingdom. In September 2023, we entered into agreements with unaffiliated distributors in Canada and South Korea to acquire certain assets related to our operations in these regions. In 2024, we entered into agreements with unaffiliated distributors in Japan, Australasia, and China to acquire certain assets related to our operations in these regions. In July 2025, we transitioned our direct to a consumer European business to a third-party distributor. These distributors now manage our stores and sell our products through various channels, including retail stores and eCommerce platforms, under our brand names within their respective territories. Since we have relatively limited experience with third-party distribution arrangements and limited control over the distributors, we cannot guarantee their success. While this model provides operational flexibility, it also creates reliance on third parties whose performance is outside our direct control.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success of these arrangements depends on several factors, including international demand for our products, the distributors' operational execution, and their ability to meet sales targets, comply with legal obligations, and maintain business practices that reflect positively on our brand. We have limited ability to control how distributors represent our brand, manage customer experience, or adhere to our sustainability and ESG standards. Any failure by distributors to meet these expectations could impair the value of our brand. Additionally, if a distributor relationship is terminated or a distributor fails to perform, we may face disruption in the affected market and may need to identify a replacement distributor or resume direct operations, either of which could be costly and time-consuming.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our transition to the distributor model in 2023, 2024, and 2025, we incurred expenses and charges associated with employees, inventory, leases, and long-lived assets. While we do not anticipate significant additional transition-related charges, our ongoing reliance on distributors subjects us to the risks described above, which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Economic uncertainty in our key markets may affect consumer purchases of discretionary items, which has affected and may continue to adversely affect demand for our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products may be considered discretionary items for consumers. Factors affecting the level of consumer spending for such discretionary items include general economic conditions and other factors such as interest rates, inflation, consumer confidence in future economic conditions, fears of recession and trade wars, the availability and cost of consumer credit, future pandemics or public health crises, international trade relations, domestic and international geopolitical turmoil, geopolitical events, lower corporate earnings, reductions in business confidence and activity, levels of unemployment, and tax rates. As global economic conditions continue to be volatile or economic uncertainty remains, and with increasing inflation and interest rates, trends in consumer discretionary spending also remain unpredictable and subject to reductions as a result of significant increases in unemployment, financial market instability, uncertainties about the future, and other factors. Unfavorable economic conditions have led and, in the future, may lead consumers to delay or reduce purchases of our products. Consumer demand for our products may also decline as a result of store closures, economic downturn, or economic uncertainty in our key markets, particularly in North America, Europe, and Asia. Our sensitivity to economic cycles and any related fluctuation in consumer demand may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One factor in our success is the strength of our brand; if we are unable to maintain and enhance the value and reputation of our brand and/or counter any negative publicity, we may be unable to sell our products, which would harm our business and could materially adversely affect our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Allbirds brand is integral to our business strategy and our ability to attract and engage customers. As a result, our success depends on our ability to maintain and enhance the value and reputation of the Allbirds brand. Maintaining, promoting, and positioning our brand will depend largely on the success of our design and marketing efforts, including advertising, social media, and consumer campaigns, as well as our product innovation, product quality, and sustainability initiatives. Our commitment to product innovation, quality, and sustainability and our continuing investment in design (including materials) and marketing efforts may not have the desired impact on our brand image and reputation.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social media, as one of our key marketing strategies, to have a positive impact on both our brand value and reputation. Our brand also depends on our ability to maintain a positive consumer perception of our corporate integrity, culture, mission, vision, and values, including our status as a Delaware public benefit corporation, or PBC, and our commitment to environmental conservation and sustainability. Any actions or any public statements or social media posts about Allbirds or our products by our customers, consumers who have not yet bought our products, our current or former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employees, brand affiliates and partners, social media influencers, celebrities, or other public figures, whether authorized or not, that are contrary to our values may negatively affect consumer perception of our brand. Any incidents involving our company, our suppliers or manufacturers, our brand affiliates and partners, or others, or the products we sell, could erode the trust and confidence of our customers, and damage the strength of our brand, especially if such incidents result in adverse publicity, governmental investigations, product recalls, or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brand and reputation could be adversely affected by any number of factors or events, including if our public image is tarnished by negative publicity due to our actions or those of persons associated with us or formerly associated with us (including employees, celebrities, social media influencers, brand affiliates and partners or others who speak publicly or post on social media about our brand or our products, whether authorized or not), if we fail to deliver innovative and high quality products, if we face or mishandle a product recall, or if we are subject to claims of “greenwashing” (e.g., if the carbon footprint of one or more of our products is alleged to be greater than what we claim, or if we fail or are alleged to have failed to achieve our sustainability goals). Our brand and reputation could also be negatively impacted by adverse publicity, whether or not valid, regarding allegations that we, or persons associated with us or formerly associated with us, have violated applicable laws or regulations, including but not limited to those related to product labeling and safety, marketing, employment, discrimination, harassment, whistle-blowing, privacy, corporate citizenship, improper business practices, or cybersecurity. Negative publicity regarding our suppliers, manufacturers, or distributors could adversely affect our reputation and sales and could force us to identify and engage alternative suppliers, manufacturers, or distributors. Additionally, while we devote considerable efforts and resources to protecting our intellectual property, if these efforts are not successful, the value of our brand may be harmed. Any harm to our brand and reputation could adversely affect our ability to attract and engage customers and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importance of our brand may increase to the extent we experience increased competition, which has required and could continue to require additional expenditures on our brand promotion activities. Maintaining and enhancing our brand image also has required us and may require us to continue to make additional investments in areas such as merchandising, marketing, and online operations. These investments may be substantial and may not ultimately be successful.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achieve or sustain profitability in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will need to generate and sustain increased revenue levels in future periods to achieve profitability, and even if we achieve profitability, we may not be able to maintain or increase our level of profitability. Our operating expenses may increase substantially in the future as we continue to,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execute on our long-term growth strategy and strategic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 in our relationships with third parties, including retail partners and distributors;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update our product and style mix;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invest in new materials innovation and technology;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focus on sustainable and environmentally friendly practices in our supply chain, which are often more expensive than traditional alternatives;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 in advertising and marketing initiatives to engage existing and new customers, enhance awareness of our brand, and grow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 in the overall health and well-being of our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address increased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 and retain talent;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significant accounting, legal, and other expenses as a public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expenditures will make it more difficult for us to achieve and maintain profitability. Our efforts to grow our business may be more costly than we expect or may not result in the returns we anticipate, and we may not be able to increase our revenue enough to offset our higher operating expenses. If we are forced to reduce our expenses beyond what we expect as a result of our cost savings initiative, it could negatively impact our growth and growth strategy. As a result, we can provide no assurance as to whether or when we will achieve profitability. If we are not able to achieve and maintain profitability, the value of our company and our Class A common stock could decline significantly.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operate in a highly competitive market and the size and resources of some of our competitors may allow them to compete more effectively than we can, which could result in a loss of our market share and a decrease in our net revenue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market for footwear and apparel is highly competitive. Our competitors include athletic and leisure footwear companies, as well as athletic and leisure apparel companies. We also compete directly against wholesalers and direct retailers of footwear and apparel, including large, diversified apparel companies with substantial market share and established companies expanding their production and marketing of technical footwear, as well as against retailers specifically focused on footwear. This competition takes place both in physical retail locations as well as online. Competition has and may in the future result in pricing pressures, reduced profit margins, lost market share, or a failure to grow or maintain our market share, any of which could substantially harm our business and results of operations. Many of our competitors are large apparel and/or footwear companies with strong worldwide brand recognition, while others are new market participants with low barriers to entry. Because of the fragmented nature of the industry, we also compete with other footwear and apparel sellers, including those specializing in athletic footwear and other casual footwear. Many of our competitors have significant competitive advantages, including longer operating histories, larger and broader customer bases, more established relationships with a broader set of suppliers and distributors, greater brand recognition, and greater financial, research and development, store development, marketing, distribution, and other resources than we do.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Changes in U.S. and global trade policy, including the imposition or increase of </w:t>
      </w:r>
      <w:r>
        <w:rPr>
          <w:rFonts w:ascii="Times New Roman;serif" w:hAnsi="Times New Roman;serif"/>
          <w:b/>
          <w:i/>
          <w:color w:val="000000"/>
          <w:sz w:val="24"/>
        </w:rPr>
        <w:t>tariffs</w:t>
      </w:r>
      <w:r>
        <w:rPr>
          <w:color w:val="000000"/>
        </w:rPr>
        <w:t xml:space="preserve"> </w:t>
      </w:r>
      <w:r>
        <w:rPr>
          <w:rFonts w:ascii="Times New Roman;serif" w:hAnsi="Times New Roman;serif"/>
          <w:b/>
          <w:i/>
          <w:color w:val="000000"/>
          <w:sz w:val="20"/>
        </w:rPr>
        <w:t>and other trade restrictions, imposed by the United States or other governments, or a global trade war, could increase the cost of our products, disrupt our supply chain, or prevent us from importing or selling our products profitably, all of which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United States and the countries in which our products are produced or sold have imposed and may in the future impose quotas, duties, tariffs, or other restrictions or regulations, or may adversely adjust prevailing quota, duty, or tariff levels. The results of any audits or related disputes regarding these restrictions or regulations (including, for example, regarding the proper import classification code, or HTS code, for a given product) could have an adverse effect on our financial statements for the period or periods for which the applicable final determinations are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Countries impose, modify, and remove tariffs and other trade restrictions in response to a diverse array of factors, including geopolitical policy goals and considerations, and global and national economic and political conditions, which make it impossible for us to predict future developments regarding tariffs and other trade restrictions. U.S. trade policy has increasingly incorporated the broader use of tariffs and other trade measures on imported goods. These measures include baseline tariffs applicable to certain imports and country-specific tariffs intended to address trade imbalances, industrial policy objectives, or other policy goals. In addition, tariffs and other trade measures imposed under existing authorities, continue to apply to certain categories of imported goods, including products originating in China. We currently source a significant portion of our products from Vietnam, and U.S. trade policy has increasingly focused on imports from Southeast Asia, including Vietnam, particularly in circumstances where U.S. authorities purport to seek to address trade imbalances, and supply-chain concentration risks. As a result, our imports from Vietnam may become subject to additional tariffs, increased duty rates, or enhanced enforcement measures in the future. These measures, and any future increases, modifications, or expansions of tariffs or related trade restrictions affecting Vietnam, China or other countries from which we source products, could significantly increase the cost of products that we import and could adversely affect our supply chain and operating margins. While we may attempt to renegotiate prices with suppliers or diversify our supply chain in response to tariffs or shift production between manufacturers in different countries, such efforts may not yield immediate results or may be ineffective or not possible in the near-term. We might also consider increasing prices to the end customer; however, this could reduce the competitiveness of our products and adversely affect net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restrictions, including tariffs, quotas, economic sanctions, embargoes, safeguards, and customs restrictions, could increase the cost or reduce the supply of products available to us, could increase shipping times, or may require us to modify our supply chain organization or other current business practices, any of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dependent on international trade agreements and regulations. The countries in which we produce and sell our products could impose or increase tariffs, duties, or other similar charges that could negatively affect our results of operations, financial position,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Adverse changes in, or withdrawal from, trade agreements or political relationships between the United States and countries where we sell or source our products, could negatively impact our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geopolitical instability and the responses to it, such as the possibility of sanctions, trade restrictions, and changes in tariffs, including tariffs imposed by the United States and foreign countries, and the possibility of additional tariffs or other trade restrictions between the United States and other countries where we currently or might in the future manufacture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 our products, could adversely impact our business. Tariffs and other trade restrictions are frequently implemented, modified, suspended, or removed with limited advance notice and may change rapidly in response to economic, political, or geopolitical developments. As a result, we are likely to be unable to accurately predict future tariff levels or trade restrictions applicable to our products. The imposition of additional tariffs by the United States could prompt retaliatory tariffs or other trade restrictions by other countries, which could further disrupt global trade and adversely affect our ability to source or sell our products internationally. Such changes could adversely impact our business and could increase the costs of sourcing our products that are manufactured in countries other than the United States, or could require us to source more of our products from other countries.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fail to anticipate and manage any of these dynamics successfully, our gross margin and profitability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technical and materials innovation to offer high-quality products.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Technical and materials innovation and quality control in the design and manufacturing process of our footwear and apparel is essential to the commercial success of our products. Research and development play a key role in technical and materials innovation. We rely upon specialists in the fields of materials sciences, sustainability, and related fields. While we strive to produce products that are comfortable and environmentally sustainable, if we fail to introduce technical and materials innovation in our products, then consumer demand for our products could decline and we may be unable to meet our sustainability goals, which could harm our brand and reputation, and if we experience problems with the quality of our products, we may incur substantial expense to remedy the problems.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focus on using sustainable high-quality materials and environmentally friendly manufacturing processes and supply chain practices may increase our cost of revenue and hinder our revenue growth.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dedicated to prioritizing sustainable materials, which meet our quality standards, an environmentally friendly supply chain, and manufacturing processes that collectively limit our carbon footprint. As our business evolves, it may be increasingly challenging to cost-effectively secure enough sustainably sourced high-quality materials to support our growth and achieve our sustainability goals while also achieving and maintaining profitability. In addition, our ability to expand into new product categories depends in part on our ability to identify new sustainable materials that are suitable for our products. Our inability to source materials that meet our sustainability requirements and quality standards in sufficient volumes could result in slower growth, increased costs, and/or lower net profits. Additionally, as our business evolves, we may not be able to identify suppliers, manufacturers, and distributors with business practices that reflect our commitment to sustainability, which may harm our ability to expand our supply chain to meet the expected growth of our business. If any of these factors prevent us from meeting our sustainability goals or increase the carbon footprint of any of our products, then it could have an adverse effect on our brand, reputation,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Shifting focus and sentiment among certain governments, organizations, customers, and investors on sustainability issues, including those related to climate change and socially responsible activities, may adversely affect our reputation, business, and financial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Climate change occurring around the world may impact our business in numerous ways. Such changes could lead to an increase in prices of raw materials, commodities, and/or packaging, as well as reduced availability of key manufacturing components. Increased frequency of extreme weather, such as storms, hurricanes, and floods, could cause increased disruption to the production and distribution of our products and have an adverse impact on consumer demand and spending.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advocacy groups, certain institutional investors, investment funds, other market participants, stockholders, and stakeholders have, in the recent past, focused on the environmental, social, and governance, or ESG, and related sustainability practices of companies, and have placed importance on the implications of the social cost of their investments. However, market and investor sentiment with respect to ESG and sustainability matters has been evolving and, in many cases, shifting away from ESG-focused investment strategies and priorities. A number of institutional investors, asset managers, and other market participants have reduced their emphasis on, or publicly distanced themselves from, ESG-related investment criteria, and certain ESG-focused funds have experienced outflows or reduced investor interest. This shift in sentiment may reduce the pool of investors who prioritize or require ESG performance as a condition of investment, which could adversely affect demand for our common stock, our stock price, and our ability to attract and retain certain categories of investors.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our ESG practices do not meet investor or other stakeholder expectations and standards (which are continually evolving and may emphasize different priorities than the ones we choose to focus on), or if our ESG practices, including our periodic reporting, change or otherwise do not live up to our own values or ESG- and sustainability-related goals, then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brand, reputation, and employee retention may be negatively impacted. It is possible that stakeholders may not be satisfied with our ESG practices or the speed of their adoption. Conversely, as certain segments of market sentiment shift away from ESG priorities, our continued focus on and public commitment to ESG practices may itself present risks, including the potential loss of investors or customers who view ESG commitments as contrary to maximizing financial returns, reputational or political risks associated with being perceived as an ESG-focused company, and the risk that our stock ownership base becomes more concentrated among ESG-focused investors whose sentiment or investment mandates may change over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could also incur additional costs and require additional resources to monitor, report, and comply with various ESG practices and regulations and to achieve our sustainability goals. Also, our failure, or perceived failure, to manage reputational threats and meet expectations with respect to socially responsible activities and sustainability commitments could negatively impact our brand credibility, employee retention, and the willingness of our customers and suppliers to do business with us. At the same time, the evolving landscape surrounding ESG expectations means that we face risks from multiple directions, both from stakeholders who believe we are not doing enough on ESG matters and from those who believe our ESG focus is misaligned with their financial or other priorities. There can be no assurance that our ESG strategy will satisfy either group, or that changes in the broader ESG environment will not adversely affect our business, financial results, or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anticipate product trends and consumer preferences and successfully develop and introduce new products, we may not be able to maintain or increase our revenue and profits.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identify, originate, and define product trends within the footwear industry, as well as to anticipate, gauge, and react to changing consumer preferences in a timely manner. However, lead times for many of our products may make it more difficult for us to respond rapidly to new or changing product trends or consumer preferences. For example, our lead times may be longer due to our preference for ocean shipping and other more sustainable supply chain practices to reduce carbon emissions, which may take longer and be more expensive than less sustainable alternatives. If we are unable to introduce new products in a timely manner, or our new products are not accepted by consumers, our competitors may introduce similar products in a more timely fashion, which could hurt our goal to be viewed as a leader in comfortable and sustainable footwear and apparel. All of our products are subject to changing consumer preferences regarding footwear and apparel, generally, and sustainable footwear and apparel, specifically, that cannot be predicted with certainty. Our products may not receive consumer acceptance as consumer preferences could shift rapidly to different types of styles and our future success depends in part on our ability to anticipate and respond to these changes. For example, in 2025, we refreshed certain foundational product franchises, including our original runner, and sales of these updated products have been slower to rebuild than anticipated. If we fail to anticipate accurately and respond to trends and shifts in consumer preferences, we could experience lower sales, excess inventories, or lower profit margins, any of which could have an adverse effect on our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utilize a range of marketing, advertising, and other initiatives to increase existing customers’ spend and to acquire new customers; if the costs of advertising or marketing increase, or if our initiatives fail to achieve their desired impact, we may be unable to grow the business profitably.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create differentiated brand marketing content and utilize performance marketing to drive customers from awareness to consideration to conversion, and promoting awareness of our brand and products is important to our ability to grow our business, drive customer engagement, and attract new customers. Our marketing strategy includes brand marketing campaigns across platforms, including email, digital, display, site, direct-mail, streaming audio, television, and social media, as well as performance marketing efforts, including retargeting, paid search and product listing advertisements, paid social media advertisements, search engine optimization, personalized emails, and mobile push notifications through our app. In addition, our marketing strategy is global in scale, reaching consumers in each of the international markets where we sell our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seek to engage with our customers and build awareness of our brands through sponsoring unique events and experiences. If our marketing efforts and messaging are not appropriately tailored to and accepted by our target customers, we may fail to attract customers, and our brand and reputation may be harmed. In addition, our marketing initiatives may become increasingly expensive as competition increases, and generating a meaningful return on those initiatives may be difficult. Our future growth and profitability and the success of our brand will depend in part upon the effectiveness and efficiency of our marketing efforts.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a significant number of visits to our digital platform via social media or other channels used by our existing and prospective customers. As eCommerce and social media continue to rapidly evolve, we must continue to establish relationships with these channels and may be unable to develop or maintain these relationships on acceptable economic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terms. In addition, we currently receive a significant number of visits to our website via search engine results. Search engines frequently change the algorithms that determine the ranking and display of results of a user’s search, which could reduce the number of visits to our website, in turn reducing new customer acquisition and adversely affecting our results of operations. If we are unable to cost-effectively drive traffic to our digital platform, our ability to acquire new customers and our financial condition would suffer. Email marketing efforts are also important to our marketing efforts. If we are unable to successfully deliver emails to our customers or if customers do not engage with our emails, whether out of choice, because those emails are marked as low priority or spam, or for other reasons, our business could be adversely affected. Our marketing initiatives have become increasingly expensive and may continue to increase in cost, and generating a meaningful return on those initiatives may be difficult or unpredictable. Even if we successfully increase net revenue as a result of our marketing efforts, it may not offset the additional marketing expenses we incur.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our marketing efforts are not successful in promoting awareness of our products, driving customer engagement, or attracting new customers, or if we are not able to cost-effectively manage our marketing expenses, our results of operations could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is subject to the risk of manufacturer concentration, both in absolute number of manufacturers and geographic concentration of manufacturers.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depend significantly on a limited number of third-party contract manufacturers for the sourcing of the vast majority of our products. For example, during 2023, we transitioned all new footwear manufacturing to one footwear manufacturer in Vietnam. In 2025, we diversified our footwear manufacturing across multiple manufacturers in Vietnam, reducing our reliance on any single manufacturer. However, our footwear supply chain remains geographically concentrated in Vietnam, and we continue to rely on a limited number of manufacturers for our products. As a result of this concentration, our business and operations would be negatively affected if any of our key manufacturers, or manufacturing operations in Vietnam generally, were to experience a significant disruption affecting the price, quality, availability, or timely delivery of products. The partial or complete loss of any key manufacturers, or a significant adverse change in our relationship with any of these manufacturers, could result in lost sales, added costs, and distribution delays that could harm our business, reputation and customer relationships. In addition, as a result of our commitments to sustainability, including our use of specific materials and manufacturing processes and the sustainability and ESG-related requirements we impose on our contract manufacturers, there are generally fewer manufacturers who could potentially satisfy our requirements without substantial lead time or without requiring us to incur much higher costs, so we may be unable to replace a key manufacturer without substantial time and expense.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 significant amount of long-lived assets, which are assessed for impairment whenever events or changes in circumstances indicate that their carrying amount may not be recoverable. In addition, we may never realize the full value of our long-lived assets, causing us to record material impairment charges.</w:t>
      </w:r>
    </w:p>
    <w:p>
      <w:pPr>
        <w:pStyle w:val="TextBody"/>
        <w:bidi w:val="0"/>
        <w:spacing w:lineRule="auto" w:line="288" w:before="200" w:after="283"/>
        <w:jc w:val="left"/>
        <w:rPr/>
      </w:pPr>
      <w:r>
        <w:rPr>
          <w:rFonts w:ascii="Times New Roman;serif" w:hAnsi="Times New Roman;serif"/>
          <w:b w:val="false"/>
          <w:color w:val="000000"/>
          <w:sz w:val="20"/>
        </w:rPr>
        <w:t>Under generally accepted accounting principles in the United States, we assess our long-lived assets, principally property and equipment, operating lease right-of-use assets, and other long-lived assets, including identifiable intangible assets with definite lives, for impairment whenever events or changes in circumstances indicate the carrying amount of an asset may not be recoverable. For example, in 2025, we determined that triggering events, primarily related to our current period and history of operating cash flow losses and closure of our full-price U.S. retail stores in 2026 required an impairment review of our long-lived assets. This resulted in us recording a non-cash impairment charge of $3.5 million</w:t>
      </w:r>
      <w:r>
        <w:rPr>
          <w:color w:val="000000"/>
        </w:rPr>
        <w:t xml:space="preserve"> </w:t>
      </w:r>
      <w:r>
        <w:rPr>
          <w:rFonts w:ascii="Times New Roman;serif" w:hAnsi="Times New Roman;serif"/>
          <w:b w:val="false"/>
          <w:color w:val="000000"/>
          <w:sz w:val="20"/>
        </w:rPr>
        <w:t>related to long-lived assets associated with certain retail stores.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is extremely capital-intensive. There is uncertainty in the projected undiscounted future cash flows used in our impairment review analysis, which requires the use of estimates and assumptions. Our projections are estimates, which could vary significantly from actual results if future economic conditions, consumer demand and competitive environments differ from our expectations and there can be no assurance that a material impairment charge of long-lived assets will be avoided. Such impairment charges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accurately forecast consumer demand could lead to excess inventories or inventory shortages, which could result in decreased operating margins, reduced cash flows, and harm to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Efficient inventory management is a key component of our business success and profitability. To be successful, we must meet anticipated demand for our products, forecast inventory needs and place orders with our manufacturers based on our estimates of future demand for particular products. Our ability to accurately forecast demand for our products could be affected by many factors, including an increase or decrease in customer demand for our products or for products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competitors, changing consumer preferences, changing product trends, our failure to accurately forecast consumer acceptance of new products, product introductions by competitors, unanticipated changes in general market conditions, store closures, declines in overall consumer spending, and weakening of economic conditions or consumer confidence in future economic conditions.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If we fail to accurately forecast consumer demand, we may experience excess inventory levels or a shortage of products available for sale or for delivery to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Inventory levels in excess of customer demand may result in the sale of excess inventory at discounted prices, inventory write-downs or write-offs, and/or donations by us of our unsold products, any of which could cause our gross margin to suffer, impair the strength and exclusivity of our brand, and have an adverse effect on our results of operations, financial condition, and cash flows. For example, we have in the past sold certain of our products at discounted prices through various channels including our website and retail stores, including outlets, third-party discounters, and donated excess products to third parties.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Conversely, if we underestimate consumer demand for our products and fail to place sufficient orders with our manufacturers in advance, then our manufacturers may not be able to deliver products to meet our requirements and we may experience inventory shortages. Inventory shortages could result in delayed shipments to customers, lost sales, a negative customer experience, lower brand loyalty, and damage to our reputation and customer relationships, any of which could have an adverse effect on our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operate a limited number of retail locations and are subject to risks associated with commercial real estate and retail operations.</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operated 23 retail store locations in two countries. We leased our stores under operating leases. In January 2026, we announced the closure of all of our full-price retail stores in the United States as part of our strategy to focus on e-commerce, wholesale partnerships, and international distributorships. Following the closures, we have two outlets in the United States and two retail stores in the U.K., all of which we lease under operating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Although our retail footprint is now significantly smaller, we remain subject to certain real estate and operational risks associated with our remaining locations. We generally cannot cancel these leases at our option, and if a store is not profitable or we decide to close it, we may nonetheless be committed to perform our obligations under the applicable lease, including paying base rent for the balance of the lease term. Any decision to close our remaining retail locations would require us to fulfill our lease obligations or negotiate modifications, which could result in additional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more than 200 employees in our retail store operations. Following the closure of our U.S. full-price retail stores in early 2026 and the associated reduction in force, we have significantly reduced our retail workforce to less than 50 employees. Our retail locations employ a limited number of employees, and we are subject to labor and employment laws in the United States and the United Kingdom. In connection with our U.S. store closures in early 2026, we incurred employee-related costs, including severance and other separation expenses. Changes in wage and hour laws, minimum wage requirements, or other employment regulations in jurisdictions where we operate retail locations could increase our operating costs. We are also subject to potential claims related to employment matters, WARN Act and related employee notification laws, health and safety, and other retail operations. Any of these factors could have an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growth strategy involves expansion of our retail partnerships, which presents risks and challenges to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Since 2022, we have entered into broad-based agreements with third-party retailers and we have limited operating experience executing this channel distribution strategy.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third-party retail partners discontinue or decelerate our partnership or otherwise do not satisfy their obligations to us, if we are unable to meet our retail partners’ expectations and demands, or if we decide to enter into additional partnerships and are unable to identify suitable retail partners or reach agreements with them, we may fail to meet our business objectives with respect to our partnership strategy. In addition, the terms of any additional retail partnerships that we establish may not be favorable to us. Our inability to successfully implement retail partnerships may lead consumers to negatively perceive our brand and adversely affect our business, financial condition, and results of operations. Also, in most cases, our agreements with such third-party retailers allow for significant variability in the amount of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purchased from us, and there are risks that eventual order volumes may be lower than initially projected. Third-party retailers may take actions that affect us for reasons that we cannot anticipate or control, such as their financial condition or changes in their business strategy or operations. There can be no assurance that we will be able to continue our relationships with our retail partners on the same or more favorable terms in future periods or that these relationships will continue beyond the terms of our existing contracts with our retail partners.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Further, our retail partners may reduce their number of stores or operations or consolidate, undergo restructurings or reorganizations, realign their affiliations, or promote products of our competitors over ours or liquidate. These events may result in a decrease in the number of stores or eCommerce platforms that carry our products or cause us to lose customers, decreasing our revenues and earnings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depends on our ability to maintain a strong community of engaged customers, including through the use of social media. We may be unable to maintain and enhance our brand if we experience negative publicity related to our marketing efforts or use of social media, or otherwise fail to meet our customers’ expectations.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Maintaining and increasing our brand appeal is critical to attracting and expanding our relationships with new and existing customers. We use third-party social media platforms to raise awareness of our brand and engage with our community. As existing social media platforms evolve and new platforms develop, we must continue to maintain a presence on these platforms and establish a presence on emerging popular social media platforms. If we are unable to cost-effectively use social media platforms as marketing tools, our ability to acquire new customers and our financial condition may suffer. Furthermore, as laws and regulations governing the use of these platforms evolve, any failure by us, or third parties acting at our direction to abide by applicable laws and regulations in the use of these platforms could subject us to regulatory investigations, class action lawsuits, liability, fines, or other penalties and adversely affect our business, financial condition, and results of operations. In addition, an increase in the use of social media for product promotion and marketing may cause an increase in the burden on us to monitor compliance of such content and increase the risk that such content could contain problematic product or marketing claims in violation of applicable regulations.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Negative commentary regarding us, our products, and other third parties who are affiliated with us, whether accurate or not, may be posted on social media platforms at any time and may adversely affect our reputation, brand, and business. The harm may be immediate, without affording us an opportunity for redress or correction, and could have an adverse effect on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customer complaints or negative publicity related to our website, products, product delivery times, customer data handling, marketing efforts, retail store closures, employee relations, security practices, customer support, or other topics, especially on blogs and social media websites or customer responses to the actions of our vendors or distributors, could diminish customer loyalty and community engagement and harm our brand and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financial results may be adversely affected if substantial investments in businesses and operations fail to produce expected returns.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invest in technology, business infrastructure, new businesses, product offering, and manufacturing innovation and expansion of existing businesses. Our current strategy focuses on investments in our e-commerce platform, wholesale partnerships, and supporting our international distributor relationships, as well as maintaining our limited retail presence. We believe cost-effective investments are essential to business growth and profitability; however, significant investments are subject to typical risks and uncertainties inherent in developing a new business or expanding an existing business. The failure of any significant investment to provide expected returns or profitability could have a material adverse effect on our financial results and divert management attention from more profitable business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subject to risks related to our ESG activities and disclosures, and our reputation and brand could be harmed if we fail to meet our public sustainability targets and goals.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began making our carbon footprint calculations available for our products. In 2021, we announced a highly ambitious sustainability strategy in service of our aim to help to reverse climate change through better business. Our sustainability strategy has three strategic priorities: (1) Regenerative Agriculture, (2) Renewable Materials, and (3) Responsible Energy. These priorities are underpinned by 10 targets, or the 2025 Targets, which we intend to achieve by the end of 2025. In addition, we have announced a goal to reduce our per-unit carbon emissions to less than 1 kg of carbon dioxide equivalent emissions by 2030, or the 2030 Goal. We anticipate continuing to make ESG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our sustainability strategy and practices and the level of transparency with which we are approaching them are foundational to our business, they expose us to several risks,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we may fail or be unable to fully achieve one or more of the 2025 Targets or the 2030 Goal due to a range of factors within or beyond our control (including a failure for governments and other third parties to make the investments that are required to make infrastructure improvements, such as greater availability of cleaner energy grids), or that we may adjust or modify our stated goals in light of new information, adjusted projections, or a change in business strategy, any of which could negatively impact our brand, reputation, and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achieving the 2025 Targets and/or 2030 Goal may require us to expend significant resources, which could divert the attention of our senior management and key personnel, delay the time by which we can achieve profitability, harm us competitively, or otherwise limit our ability to make investments in our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our disclosures related to ESG may result in heightened scrutiny from stakeholders or other third parties of our ESG performance, activities, and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a failure to or perception of a failure to disclose metrics and set goals that are rigorous enough or in an acceptable format, a failure to appropriately manage selection of goals, a failure to or perception of a failure to make appropriate disclosures, stakeholder perception of a failure to prioritize the “correct” ESG goals, or an unfavorable ESG-related rating by a third party could negatively impact our brand, reputation, and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certain metrics we utilize receive limited or no assurance from and/or verification by third parties, may involve a less rigorous review process than assurance sought in connection with more traditional audits, such a review process may not identify errors and may not protect us from potential liability under the securities laws, and, if we were to seek more extensive assurance or attestation with respect to such ESG metrics, we may be unable to obtain such assurance or attestation or may face increased costs related to obtaining and/or maintaining such assurance or attestation;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the third-party data used in our carbon footprint calculations are determined to be wrong or become unavailable to us for whatever reason, which would require us to find a new source of quality third-party data or develop our own, either of which could require significant resources, a temporary suspension of sharing a carbon footprint for each product, or an adjustment to carbon footprint numbers because of variations in the underlying data, and if our stakeholders react unfavorably to any such situation or we fail to adequately manage any transition, it could negatively impact our brand, reputation, and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that the ESG or sustainability standards, norms, or metrics, which are constantly evolving, change in a manner that impacts us negatively or requires us to change the content or manner of our disclosures, and our stakeholders or third parties view such change(s) negatively, we are unable to adequately explain such changes, or we are required to expend significant resources to update our disclosures, any of which could negatively impact our brand, reputation, and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our brand reputation, and business, could be negatively impacted if we are perceived, alleged or found to be in violation of, or non-compliant with, newly adopted or constantly evolving ESG- and sustainability-related laws and disclosure requirements that are applicable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our brand, reputation, and business could be negatively impacted if any of our disclosures, including our carbon footprint numbers, reporting to third-party ESG standards, or reporting against our 2025 Targets, 2030 Goal, or other goals, are inaccurate, perceived to be inaccurate, or alleged to be inaccurate.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subject to risks related to our commitment to certain ESG criteria, which we call the Sustainability Principles and Objectives Framework, or the SPO Framework.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SPO Framework, which consists of ESG criteria that we have satisfied or that we intend to satisfy, was originally described more fully in the section titled “The Sustainability Principles and Objectives Framework” in our final prospectus filed with the SEC on November 4, 2021, pursuant to Rule 424(b)(4). This is a new and untested framework, which was not developed solely by disinterested third parties but was developed with input from Allbirds and other partners. There is no basis for investors to, or track record by which investors can, assess the impact of the SPO Framework on our operations, financial condition, and the market price of our Class A common stock. Our adherence to the SPO Framework may result in additional costs to us in operating our business, including, for example, costs of the third-party ESG assessment, costs related to meeting the carbon emissions reduction target, etc. We may not meet all of the SPO Framework (or any part thereof) in the future. We may also change the frequency and manner of reporting our progress against the SPO Framework. Further, any or all elements of the SPO Framework may be considered insufficient and/or unsatisfactory and/or the credibility of the SPO Framework may be disregarded entirely. Because we committed publicly to the SPO Framework, if we fail to make meaningful progress on ESG practices and matters or to continue to report transparently across ESG practices and matters relating to the SPO Framework, our reputation could be harmed. We could also damage our reputation and the value of our brand if we fail to act responsibly in the areas in which we report or fail to demonstrate that our commitment to ESG principles enhances our overall financial performance. Any harm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reputation resulting from our failure or perceived failure to meet the SPO Framework could also impact employee engagement and retention, the willingness of our supplier or manufacturers to do business with us, or investors’ willingness to purchase or hold shares of our common stock, any of which could have a material and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success is substantially dependent on highly skilled personnel and if we are unable to attract and retain talent, we may not be able to grow effectively.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growth and future success largely depends on the continued services of our senior management and key employees. Our executive management team and key employees are employed on an at-will basis, which means that they may resign or could be terminated for any reason at any time. We currently do not have “key person” insurance on any of our employees. The loss of key personnel, including members of management, supply chain, innovation and sustainability, product development, marketing, and sales personnel, could disrupt our operations and seriously harm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successfully grow and operate our business and execute our strategic plans, we must attract and retain highly qualified personnel. Competition for executives and highly skilled personnel is often intense, especially in Northern California, where our headquarters is located. In addition to hiring new employees, we must continue to focus on developing, motivating, and retaining our best employees. If we fail to identify, recruit, and integrate new employees, our business, financial condition, and results of operations could be adversely affected. Many of the companies with which we compete for experienced personnel have greater resources than we have, and some of these companies may offer more attractive compensation packages. The incentives to attract, retain, and motivate employees provided by our equity awards (especially in light of the relatively low trading price of our Class A common stock in recent quarters) or by future arrangements, such as through cash bonuses, may not be as effective as our past incentives or as the current incentives offered by our competitors. If the perceived value of our equity awards declines further, or if the mix of equity and cash compensation that we offer is unattractive, it may adversely affect our ability to recruit and retain employees. We may not be successful in attracting, integrating, or retaining qualified personnel to fulfill our current or future needs. We may experience difficulty in hiring and retaining highly skilled employees with appropriate qualifications. Our recruiting efforts may also be limited or delayed by laws and regulations, such as restrictive immigration laws, and restrictions on travel or availability of visas. During the year ended December 31, 2025, we experienced employee attrition at all levels of the Company and we expect that trend may continue. Further, in connection with the closure of all of our U.S. full-price retail stores in early 2026, we conducted a reduction in force. If our employee attrition is higher than expected or we conduct additional layoffs, we may find it difficult to fill our hiring needs without substantial expense. Attrition and layoffs can also have an adverse effect on employee morale, cause diversion of management attention, and negatively impact our reputation as an employer, all of which could make it more difficult for us to hire employees in the future. Failure to manage our employee base and hiring needs effectively, including successfully recruiting and integrating our new hires, or to retain and motivate our current personnel may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cannot maintain our culture and values, our business could be harmed.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invested substantial time and resources in building our culture, which is rooted in innovation, teamwork, and achieving profit with purpose. Relatedly, we believe that our status as a PBC, our commitment to environmental conservation and sustainability, and our certified B Corp status, all of which are foundational aspects of our culture and values, distinguish us from our competitors and promote a relationship among our customers, partners, and employees founded on trust.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However, we face a number of challenges that may affect our ability to sustain our corporate culture and shared values,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need to identify, attract, reward, and retain people in key leadership positions in our organization who share and further our culture, values, mission, and public benefit objective;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size and geographic diversity of our workforce, which may limit our ability to promote a uniform and consistent culture and set of shared values across all of our employees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wider array of alternative working arrangements we now permit or may in the future permit, including part-time or flexible roles, fully remote roles, or “hybrid” roles (where a mix of in-person and remote work is permitted);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our employee health and well-being initiatives and other ESG investments, which are required to maintain our corporate culture and live up to our values, but which may be more expensive than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our certified B Corp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pressures that may divert us from our mission, vision, and values, and may cause us to take actions that are contrary to, or that our workforce views as contrary to, our culture or values;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rapidly evolving industry;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increasing need to develop expertise in new areas of business that affect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to preserve our corporate culture or any failure to live up to our values as a company, particularly those related to environmental conservation and sustainability, could negatively affect our brand and reputation, harm our business, and limit our future success, including our ability to retain and recruit personnel and to effectively focus on and pursue our corporate objectives.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Merchandise returns could harm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is reported net of returns, discounts, and any taxes collected from customers and remitted to government authorities. We estimate an allowance for expected product returns based on historical return trends. Revenue is presented net of the sales return allowance, and the expected inventory right of recovery is presented as a reduction of cost of revenue. The introduction of new products, changes in customer confidence or shopping habits or other competitive and general economic conditions could cause actual returns to exceed our estimates. If actual return costs differ from previous estimates, the amount of the liability and corresponding revenue are adjusted in the period in which such costs occur. In addition, from time to time, our products may be damaged in transit, which can also increase return rates. Returned goods may also be damaged in transit as part of the return process which can impede our ability to resell the returned goods. From time to time, customers have abused our return policy by, for example, not appropriately returning shoes or returning shoes that have been worn repeatedly for all or most of the 30-day return window and cannot be resold. Competitive pressures could cause us to alter our return policies or our shipping policies, which could result in an increase in damaged products and an increase in product returns. If the rate of product returns increases significantly or if product return economics become less efficient,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Counterfeit or “knock-off” products, as well as products that are “inspired-by-Allbirds,” may siphon off demand we have created for sustainable footwear and apparel, and may result in customer confusion, harm to our brand, a loss of our market share, and/or a decrease in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counterfeit or “knock-off” products manufactured and sold by third parties in violation of our intellectual property rights, as well as from products that are inspired by our footwear in terms of sustainability, design, and style, including private label offerings by digital retailers. In the past, third parties have established websites to target users on Facebook or other social media platforms with “look alike” websites intended to trick users into believing that they were purchasing Allbirds shoes at a steep discount. Some individuals who actually made purchases from such “look alike” websites believed they had purchased from our actual website and subsequently submitted complaints to us.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activities of third parties may result in customer confusion, require us to incur additional administrative costs to manage customer complaints related to counterfeit goods, divert customers from us, cause us to miss out on sales opportunities, and result in a loss of our market share. We could also be required to increase our marketing and advertising spend. If consumers are confused by these other products and believe them to be actual Allbirds, we could be forced to deal with dissatisfied customers who mistakenly blame us for poor service or poor-quality goods.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addressing these or similar issues in the future, we may also be required to incur substantial expense to protect our brand and enforce our intellectual property rights, including through legal action in the United States or in foreign countries, which could negatively impact our results of operations and financial condition.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and similar “counterfeit” or “inspired-by-Allbirds” issues could reoccur and could again result in customer confusion, harm to our brand, a loss of our market share, and/or a decrease in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Certain of our key operating metrics are subject to inherent challenges in measurement, and any real or perceived inaccuracies in such metrics or the underlying data may cause a loss of investor confidence in such metrics, and the market price of our Class A common stock may decline.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track certain key operating metrics using internal and/or external data analytics tools, which have certain limitations, including, but not limited to, imperfect data collection (e.g., lack of emails and/or other identifiers for certain customers who purchase via our retail channels and do not supply such information). In addition, we rely on data received from third parties, including third-party platforms, to track certain performance indicators, and we may be limited in our ability to verify such data. In addition, our methodologies for tracking metrics may change over time, which could result in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metrics we report. If we undercount or overcount performance due to the internal data analytics tools we use or issues with the data received from third parties, if our internal data analytics tools contain algorithmic or other technical errors, or if changes in access to third party data or external reporting standards require modifications to how we calculate certain operating metrics, the data we report may not be accurate or comparable with prior periods. In addition, limitations, changes, or errors with respect to how we measure data may affect our understanding of certain details of our business, which could affect our longer-term strategies. If our performance metrics are not, or are not perceived to be, accurate representations of our business, if we discover material inaccuracies in our metrics or the data on which such metrics are based, or if we can no longer calculate any of our key performance metrics with a sufficient degree of accuracy, investors could lose confidence in the accuracy and completeness of such metrics, which could cause the price of our Class A common stock to decline.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is affected by seasonality.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the general seasonal trends common to the retail footwear and apparel industry. As a result, historically, we have typically generated a higher proportion of net revenue, and incurred higher selling and marketing expenses, during the holiday season in the fourth quarter of the year compared to other quarters, and we expect these trends to continue. This seasonality may adversely affect our business and cause our results of operations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Supply Chain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reliance on suppliers and manufacturers to provide materials for and to produce our products could cause problems in our supply chain.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do not manufacture our products or the raw materials for them and rely instead on suppliers. Many of the materials used in our products are developed and manufactured by third parties and may be available, in the short-term, from only one or a very limited number of sources, some of whom may be impacted by external factors. Our contracts with some suppliers and manufacturers may not adequately meet our production requirements, and we compete with other companies for raw materials and production.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experienced, and may in the future experience, a significant disruption in the supply of raw materials from current sources and we may be unable to locate alternative materials suppliers of comparable quality at an acceptable price in time, or at all. In addition, if we experience significant increased demand, or if we need to replace an existing supplier or manufacturer, we may be unable to locate additional supplies of raw materials or additional manufacturing capacity on terms that are acceptable to us, or at all, or we may be unable to locate any supplier or manufacturer with sufficient capacity to meet our requirements or to fill our orders in a timely manner. These issues and risks are increased as a result of our commitments to sustainability, including our use of specific materials and manufacturing processes and the sustainability and ESG-related requirements we impose on our suppliers, which generally limit the number of suppliers who could potentially satisfy our requirements. Identifying a suitable supplier is an involved process that requires us to become satisfied with its quality control, responsiveness and service, financial stability, environmental impact, and labor and other ethical practices. Even if we are able to expand existing or find new manufacturing or materials sources, we may encounter delays in production and added costs as a result of the time it takes to train our suppliers and manufacturers in our methods, products, and quality control standards. Delays related to supplier changes could also arise due to an increase in shipping times if new suppliers are located farther away from our markets or from other participants in our supply chain or if an alternative shipping and transportation route is required, any of which could increase our overall environmental impact and which could also negatively impact our reputation and the carbon footprint scoring of our products. Any delays, interruption, or increased costs in the supply of materials or manufacture of our products could have an adverse effect on our ability to meet customer demand for our products and result in lower net revenue and income from operations both in the short and long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of our contractors or our licensees’ contractors to comply with our supplier code of conduct, contractual obligations, local laws, and other standards could harm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work with contractors, most of which are located outside of the United States, to manufacture our products. We require the contractors that directly manufacture our products as well as those that manufacture the materials used to manufacture our products to comply with our supplier code of conduct and other social, environmental, health, and safety standards. We also require these contractors to comply with applicable standards for product safety. Notwithstanding their contractual obligations to comply with our policies and applicable laws and standards, from time to time, contractors may not comply with such standards or applicable local law or may fail to enforce such standards or applicable local law on their contractors. Significant or continuing noncompliance with such standards and laws by one or more contractors could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reputation or result in a product recall and, as a result, could have an adverse effect on our sales and financial condition. Similarly, agreements that we enter into with these contractors generally do not require blanket exclusivity with us; as a result, some contractors may be permitted to work with parties who could be deemed competitive, which could harm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failure of one or more contractors to comply with applicable laws and regulations and contractual obligations could lead to litigation against us or require us to initiate litigation to enforce our contracts, resulting in increased legal expenses and costs. Furthermore, the failure of any such contractors to provide safe and humane factory conditions and oversight at their facilities could damage our reputation with customers or result in legal claims against us. Furthermore, any such noncompliance by our contractors, product recalls, or negative publicity regarding production methods, alleged practices, or workplace or related conditions of any of our suppliers, manufacturers, or licensees could adversely affect our brand image, result in lost sales, require us to divert resources to address and remediate these issues, expose us to legal claims, and force us to locate alternative suppliers, manufacturers or licensees, any of which could have an adverse effect on our business, financial condition, and results of operations. Any of these issues with our contractors could have a greater negative impact on us, due to the importance of ESG and sustainability practices to our brand and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of our suppliers or manufacturers to consistently provide high-quality materials and products could adversely affect our brand and reputation and cause our business and results of operations to suffer.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success depends on our ability to provide our customers with the sustainable footwear and apparel they seek, which in turn depends on the quantity and quality of the finished products provided by our manufacturing partners, which depends on the quantity and quality of the raw materials they receive from our supply partners. We may be unable to provide customers with the high-quality sustainable footwear and apparel they seek if our supply chain partners do not consistently produce high-quality products for us to sell.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many of our new customers find us by word of mouth and other non-paid referrals from existing customers. If existing customers are dissatisfied with their product experience due to defects in the materials or manufacturing of our products or other quality related concerns, then they may stop buying our products and may stop referring others to us, and we could experience an increase in the rate of product returns. If we are unable to retain existing customers and attract new customers due to quality issues that we fail to identify and remedy, our growth prospects would be harmed and our business could be adversely affected. If product quality issues are widespread or result in product recalls, our brand and reputation could be harmed, we could incur substantial costs, and our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fluctuating cost of raw materials could increase our cost of revenue and cause our results of operations and financial condition to suffer.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raw materials and commodities used by our suppliers and manufacturers such as, tree fiber, merino wool, sugarcane, castor bean oil, natural rubber, recycled plastic bottles, bio-based nylon, recycled polyester, bio-based TPU, and paper products. Our suppliers and manufacturers’ costs for raw materials and commodities are affected by, among other things, weather, consumer demand, rising interest rates, inflation, speculation on the commodities market, the relative valuations and fluctuations of the currencies of producer versus consumer countries, and other factors that are generally unpredictable and beyond our control. In addition, if key suppliers, the footwear and apparel industry, or a group of countries adopt and enforce carbon pricing, then the price of raw materials and commodities could increase. Increases in the cost of raw materials have had and could continue to have a material adverse effect on our cost of revenue, results of operations, financial condition, and cash flows. As a result, this may have an impact on pricing of our products. It is uncertain if we will have to consider additional future price increases in our products as a result of increases in the cost of raw materials and supplies, partially due to the current inflationary environment. If we continue increasing the prices of our products, this may adversely impact demand for our products by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operations of our suppliers, most of which are located outside of the United States, are subject to additional risks that are beyond our control and that could harm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Currently, most of our suppliers are located outside of the United States. As a result of our global suppliers, we are subject to risks associated with doing business abroad,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unrest, terrorism, geopolitical events, war and other violent conflicts, labor disputes, and economic instability resulting in the disruption of trade from foreign countries in which our products are manufactured, including, for example, Vietnam, China, and Peru;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by the United States on imports from countries where our products are manufactured, including, for example, Vietnam, China, and Peru;</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challenges and increased costs with enforcing and periodically auditing or reviewing our suppliers and manufacturers’ compliance with our supplier code of conduct, including their labor and sustainability practices, given that their facilities are located outside of the United States and, in many cases, far away from our offices and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protection for intellectual property rights, including trademark protection, in some countries, particularly China;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in operations due to global, regional, or local public health crises (for example, the COVID-19 pandemic) or other emergencies or natural disasters;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or delays in shipments;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local economic conditions in countries where our manufacturers, suppliers, or customers are located.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and other factors beyond our control, could interrupt our suppliers’ production, influence the ability of our suppliers to export our products cost-effectively or at all, and inhibit our suppliers’ ability to procure certain materials, any of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Shipping and delivery are critical parts of our business and any changes in, or disruptions to, our shipping and delivery arrangements could adversely affect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several ocean, air parcel, and “less than truckload” carriers to deliver the products we sell. If we are not able to negotiate acceptable pricing and other terms with these providers, or if these providers experience performance problems or other difficulties in processing our orders or delivering our products to customers, it could negatively impact our results of operations, financial condition, and our customers’ experience. For example, changes to the terms of our shipping arrangements or the imposition of surcharges or surge pricing may adversely impact our margins and profitability. In addition, our ability to receive inbound inventory efficiently and ship merchandise to customers may be negatively affected by factors beyond our and these providers’ control, including pandemic, weather, fire, flood, power loss, earthquakes, acts of war or terrorism, geopolitical wars or conflicts, or other events specifically impacting shipping channels, including armed conflicts, piracy, and shipping partners being unwilling or unable to safely access certain shipping channels, or impacting shipping partners, such as labor disputes, financial difficulties, system failures, and other disruptions to the operations of the shipping companies on which we rely. We have in the past experienced, and may in the future experience, shipping delays for reasons outside of our control. We are also subject to risks of damage or loss during delivery by our shipping vendors. If the products ordered by our customers are not delivered in a timely fashion, including to international customers, or are damaged or lost during the delivery process, our customers could become dissatisfied and cease buying products from us, which would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do not successfully optimize, operate, and manage our global network of third-party owned and operated logistics and distribution centers, our business, financial condition, and results of operations could be harmed.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global logistics and distribution network. Currently, we rely predominantly on a few third-party logistics providers to store our finished products in, and distribute our products to customers from, their distribution center locations in the United States and United Kingdom. Our ability to meet customer expectations, manage inventory, complete sales, and achieve objectives for operating efficiencies and growth, particularly in emerging markets, depends on the proper operation of these third parties’ distribution facilities, the development or expansion of additional distribution capabilities, and the timely performance of services by third parties (including those involved in shipping product to and from our distribution facilities). If we continue to add third-party logistics providers, require them to expand their fulfillment, distribution, and warehouse capabilities, including adding additional locations in new countries, add products categories with different fulfillment requirements, or change the mix of products that we sell, our global logistics and distribution network will become increasingly complex and operating it will become more challenging for us and our third-party logistics providers. The expansion and growth of our logistics and distribution center network may put pressure on our managerial, financial, operational, and other resources. In addition, we may be required to expand our capacity sooner than we anticipate. If we are unable to secure new or expand existing third-party logistics providers to meet our future needs, our order fulfillment and shipping times may be delayed and our business, financial condition, and results of operations could be adversely affected. The third-party owned and operated logistics and distribution centers we rely on could be interrupted by issues beyond our control, including information technology problems, disasters such as earthquakes or fires, or outbreaks of disease or government actions taken to mitigate their spread. Any significant failure in our distribution facilities could result in an adverse effect on our business. We maintain business interruption insurance,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it may not adequately protect us from adverse effects caused by significant disruptions in our third-party logistics and distribution centers.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 Information Technology, and Data Security and Privacy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or inability to protect or enforce our intellectual property rights could diminish the value of our brand and weaken our competitive position.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currently rely on a combination of trademark, trade dress, copyright, patent, and unfair competition laws, as well as confidentiality procedures and licensing arrangements, to establish and protect our intellectual property rights. The steps we take to protect our intellectual property rights may not be adequate to prevent infringement of these rights by others. We regularly face the imitation of our products, the manufacture and distribution of “knock-off” and counterfeit products, and the misappropriation of our brand and product names. For instance, we have had to litigate against a third party misappropriating our WOOL RUNNERS trademark and have had to enforce against third parties manufacturing and selling products that violate our design patents.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For instance, some of our trademark or trade dress applications may not be approved by the applicable governmental authorities because they are determined to lack sufficient distinctiveness, and, even if approved, may be challenged by third parties for this same reason. If we fail to protect and maintain our intellectual property rights, the value of our brand could be diminished, and our competitive position may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trademarks and other proprietary rights could potentially conflict with the rights of others, and we may be prevented from selling some of our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brand image. We believe that our trademarks and other proprietary rights have significant value and are important to identifying and differentiating our products from those of our competitors and creating and sustaining demand for our products. We have applied for and obtained some U.S., E.U., and foreign trademark registrations, and will continue to evaluate the registration of additional trademarks as appropriate. However, some or all of these pending trademark applications may be refused due to prior conflicting trademarks or for other reasons. We also have and may continue to encounter “squatters” or bad actors that either apply to register or “squat” on previously acquired trademarks that are identical or related to our trademarks. In such scenarios, third parties hope to use their prior rights as leverage to extract a favorable monetary settlement or acquisition of their rights; in some instances, we are required to expend both financial and internal resources to address such filings.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even if our applications are approved, third parties may seek to oppose, invalidate, or otherwise challenge these registrations for these same reasons, particularly as we expand our business and the number of products we offer.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defense of any claim, regardless of its merit, could be expensive and time consuming and could divert management resources. Successful infringement claims against us could result in significant monetary liability or prevent us from selling some of our products. In addition, resolution of claims may require us to redesign our products, license rights from third parties, or cease using those rights altogether. Any of these events could harm our business and cause our results of operations, liquidity, and financial condition to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inability to acquire, use, or maintain our marks and domain names for our websites could substantially harm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are the registrant of marks for our products in numerous jurisdictions and are the registrant of the internet domain name for the website allbirds.com, as well as various related domain names. However, we have not registered our marks represented by our domain names in all international jurisdictions. Domain names generally are regulated by internet regulatory bodies and may not be generally protectable as trademarks in and of themselves. We have incurred, and as our business grows, may continue to incur material costs in connection with the registration, maintenance, and protection of our marks.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regulations governing domain names and laws protecting marks and similar proprietary rights could change in ways that block or interfere with our ability to use relevant domains or the Allbirds brand. Regulatory bodies also may establish additional generic or country-code top-level domains or may allow modifications of the requirements for registering, holding, or using domain names. As a result, we might not be able to register, use, or maintain the domain names that use the name Allbirds in all of the countries and territories in which we currently or intend to conduct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might not be able to prevent third parties from registering, using, or retaining domain names that interfere with our customer communications or infringe or otherwise decrease the value of our marks, domain names, and other proprietary rights. For example, we have in the past been the target of, and may in the future be the target of, fraudulent websites with similar domain names or content to us that attempt to divert our customer traffic and defraud our customers. Any inability to prevent these practices could adversely affect our brand and make it more difficult for users to find our website.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material disruption of our information technology systems or unexpected network interruption could disrupt our business and reduce our sales.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networks and systems, our website, and various third parties to market and sell our products and to manage a variety of business processes and activities and to comply with regulatory, legal, and tax requirements. For example, we depend on information technology systems and third parties to operate our websites, process transactions online and in our stores, respond to customer inquiries, manage inventory, purchase, sell, and ship goods on a timely basis, and maintain cost-efficient operations. In addition, third-party distributors may utilize their own information technology systems and other infrastructure as we transition to a distributor model in countries outside of the United States. We also depend on our information technology infrastructure for digital marketing activities and for electronic communications among our personnel, customers, manufacturers, and suppliers around the world. Our website, portions of which are run through Shopify, and information technology systems, some of which are managed by third parties, may be susceptible to a variety of interruptions or outages, including those caused by damage, disruptions, slowdowns, or shutdowns due to failures during the process of upgrading or replacing software, databases, or components, fire, flood, power outages, hardware failures, terrorist attacks, acts of war, break-ins, earthquakes, or catastrophic events.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Due to the importance of our website and internet-related operations, we are vulnerable to website downtime and other technical failures, which may be outside of our control. Further, any slowdown or material disruption of our systems, or the systems of our third-party service providers, or our website could disrupt our ability to track, record, and analyze the products that we sell and could negatively impact our operations, shipment of goods, ability to process financial information and transactions, and our ability to receive and process customer orders or engage in normal business activities. Our third-party technology providers may also change their policies, terms, or offerings from time to time, may fail to introduce new features and offerings that meet our needs as we expand, or may cease to provide services to us on favorable terms, or at all, which could require us to adjust how we use our information technology systems, including our website, or switch to alternative third-party service providers which could be costly, cause interruptions, and could ultimately adversely affect our business, financial condition, results of operations, and growth prospects. Furthermore, we could experience delays in reporting our financial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complex custom-built proprietary software in our technology infrastructure. Our proprietary software may contain undetected errors or vulnerabilities, some of which may be significant and may only be discovered after the software has been implemented in our production environment or released to end users. In addition, we seek to continually update and improve our software, and we may not always be successful in executing these upgrades and improvements, and the operation of our systems may be subject to slowdown or failure. For example, in the past we have experienced minor slowdowns and/or impaired functionality while updating our website. Moreover, new technologies or infrastructures may not be fully integrated with existing systems on a timely basis, or at all. Any errors or vulnerabilities discovered in our software after commercial implementation or release could result in damage to our reputation, loss of customers, exploitation by bad actors resulting in data breaches or unauthorized modification of our software, disruption to our digital channels, loss of revenue, or liability for damages, any of which could adversely affect our growth prospects and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we expand our use of third-party services, including cloud-based services, our technology infrastructure may be subject to increased risk of slowdown or interruption as a result of integration with or subsequent dependence on such services and/or failures by such third parties, which are out of our control. Our net revenue depends on the number of visitors who shop on our website and the volume of orders we can handle. Unavailability of our website or reduced order fulfillment performance would reduce the volume of goods sold and could also adversely affect customer perception of our brand. In addition, continued growth in our transaction volume, as well as surges in online traffic and orders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with promotional activities or seasonal trends in our business, place additional demands on our technology platform, and could cause or exacerbate slowdowns or interruptions. If there is a substantial increase in the volume of traffic on our website or the number of orders placed by customers, we will be required to further expand, scale, and upgrade our technology, transaction processing systems, and network infrastructure. There can be no assurance that we will be able to accurately project the rate or timing of increases, if any, in the use of our website or expand, scale, and upgrade our technology, systems, and infrastructure to accommodate such increases on a timely basis. In order to remain competitive, we must continue to enhance and improve the responsiveness, functionality, and features of our website and underlying technology infrastructure, which is particularly challenging given the rapid rate at which new technologies, customer preferences and expectations, and industry standards and practices are evolving in the eCommerce industry. These types of activities subject us to inherent costs and risks associated with replacing and changing these systems, including impairment of our ability to fulfill customer orders, potential disruption of our internal control structure, capital expenditures, additional administration, and operating expenses, acquisition, and retention of sufficiently skilled personnel to implement and operate the new systems, demands on management time, the introduction of errors or vulnerabilities, and other risks and costs of delays or difficulties in transitioning to or integrating new systems into our current systems. Our or our third-party vendors’ inability to continue to update, improve, and scale our website and the underlying technology infrastructure (including upgrades to or replacement of legacy systems with successor systems or building new policies, procedures, training programs, and monitoring tools) could harm our reputation and our ability to acquire, retain, and serve our customers, which could adversely affect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Further, we endeavor to continually upgrade existing technologies and business applications, and we may be required to implement new technologies or business applications in the future. The implementation of upgrades and changes requires significant investments. Our results of operations may be affected by the timing, effectiveness, and costs associated with the successful implementation of any upgrades or changes to our systems and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the technology-based systems that give our customers the ability to shop with us online do not function effectively, our results of operations, as well as our ability to grow our digital business globally, could be materially adversely affected.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following the closure of our full-price retail stores in early 2026, our e-commerce platform is our primary direct sales channel, supplemented by our outlet stores and wholesale partnerships. In most international markets, we sell through third-party distributors who manage their own sales channels. Any failure on our part to provide attractive, effective, reliable, user-friendly digital platforms that offer a wide assortment of merchandise with rapid delivery options and that continually meet the changing expectations of online shoppers could place us at a competitive disadvantage, result in the loss of digital and other sales, harm our reputation with customers, have a material adverse impact on the growth of our digital business globally, and could have a material adverse impact on our business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risks related to our digital business include liability for online content and our ability to replicate the product experience that physical retail provides. Our failure to successfully respond to these risks could adversely affect sales and damage our reputation and brand.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event that it is more difficult for our customers to buy products from us on their mobile devices, or if our customers choose not to buy products from us on their mobile devices or to use mobile products that do not offer access to our websites, our customer growth could be harmed and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risks related to online payment methods.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currently accept payments using a variety of methods, including credit cards and debit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We are also subject to payment card association operating rules and certification requirements, including the Payment Card Industry Data Security Standard, or PCI DSS, and rules governing electronic funds transfers, which could change or be reinterpreted to make it difficult or impossible for us to comply. Failure to comply with PCI DSS or to meet other payment card or other industry standards may result in the imposition of financial penalties or the allocation by the card brands of the costs of fraudulent charges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sensitive information about our customers is actually or alleged to have been disclosed, or if we or our third-party providers are subject to real or perceived cyberattacks or misuse, our customers may curtail use of our website, we may be exposed to liability, and our reputation could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our business and platform involves the collection, storage, and transmission of a variety of sensitive information, such as names, phone numbers, mailing and billing addresses and email addresses, and other similar personal information, which we may share with our third-party service providers. In an effort to protect sensitive information, we rely on a variety of security measures, but advances in computer capabilities, increasingly sophisticated tools and methods used by hackers and cyber terrorists, new discoveries in the field of cryptography, or other developments may result in our or our third-party service providers’ (a) failure or inability to detect cyberattacks, or (b) failure or inability to adequately protect sensitive information.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Like other eCommerce companies, we are also vulnerable to hacking, malware, supply chain attacks, computer viruses, unauthorized access, and various other attacks by computer hackers (such as phishing or social engineering attacks, ransomware attacks, credential stuffing attacks, denial-of-service attacks, exploitation of software vulnerabilities, and other real or perceived cyberattacks) as well as cybersecurity incidents caused by telecommunication failures, user errors, or intentional or accidental actions or inactions by users with authorized access to our systems. Additionally, certain functional areas of our workforce operate in a “hybrid” or fully remote work environment, which has heightened the risk of these potential vulnerabilities. Any of these issues could lead to interruptions or shutdowns of our platform, loss or corruption of data or unauthorized access to, or disclosure of sensitive information. Cyberattacks could also result in the theft of our intellectual property or sensitive information of our business partners and suppliers, damage to our IT systems or disruption of our ability to make financial reports, and other public disclosures required of public companies. We have been subject to attempted cyber, phishing, or social engineering attacks in the past and may continue to be subject to such attacks and other cybersecurity incidents in the future. We and our third-party service providers may not have the resources or technical sophistication to anticipate or prevent all such cyberattacks. Moreover, techniques used to obtain unauthorized access to systems change frequently and may not be known until launched against us or our third-party service providers. Security breaches can also occur as a result of non-technical issues, including intentional or inadvertent actions by our employees, our third-party service providers, or their personnel.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our distributors, or our third-party service providers experience, or are believed to have experienced, security breaches that result in marketplace performance or availability problems or the loss or corruption of, or unauthorized access to or disclosure of, sensitive information, consumers may become unwilling to provide us the information necessary to make purchases on our website. Existing customers may also decrease or stop their purchases altogether. While we maintain cyber errors and omissions insurance coverage that covers certain aspects of cyber risks, these losses may not be adequately covered by insurance or other contractual rights available to us. The successful assertion of one or more large claims against us that exceed or are not covered by our insurance coverage or changes in our insurance policies, including premium increases or the imposition of large deductible or co-insurance requirements, could make us unable to acquire such insurance and may have an adverse effect on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Furthermore, we may be required to disclose personal data pursuant to demands from individuals, privacy advocates, regulators, government agencies, and law enforcement agencies in various jurisdictions with conflicting privacy and security laws. Any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to customers in certain jurisdictions. Additionally, changes in the laws and regulations that govern our collection, use, and disclosure of customer data could impose additional requirements with respect to the retention and security of customer data, could limit our marketing activities, and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federal, state, and foreign laws and regulations as well as our contractual obligations and industry requirements relating to privacy, data protection, and customer protection. The expansion of current laws and regulations or the enactment of new laws and regulations relating to privacy, data protection, and consumer protection, or failure to comply with those laws or obligations, whether or not inadvertent, could materially adversely affect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and maintain significant amounts of data relating to our customers and employees, and we face risks inherent in handling large volumes of data, transferring such data to third parties, processing such data for tracking and marketing purposes (or providing such data to third parties for tracking and marketing purposes), and protecting the security of such data. Our actual or perceived failure to comply with any federal, state, or foreign laws and regulations, or applicable industry standards that govern or apply to our collection, use, retention, sharing, and security of data, or any failure by any of our third-party service providers to protect such data that they may maintain on our behalf, could result in enforcement actions that require us to change our business practices in a manner that may negatively impact our revenue. Such failures could also result in indemnity obligations to our customers, distract our management, increase our costs of doing business and expose us to litigation, fines, civil and/or criminal penalties, and adverse publicity that could cause our customers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lose trust in us, negatively impacting our reputation and business (including our brand) in a manner that harms our financial position, results in a loss of customers and suppliers, or creates an inability to process credit card payments. Such failures may also result in the imposition of additional monetary penalties beyond those previously mentioned. Laws and regulations in the United States and around the world restrict how information about individuals is collected, processed, stored, used, transferred, and disclosed, as well as set standards for its security, implement notice requirements regarding privacy practices, and provide individuals with certain rights regarding the use, disclosure, and sale of their protected personal information. These laws and regulations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these laws and regulations may be interpreted and applied in a manner that is inconsistent from jurisdiction to jurisdiction or inconsistent with our current policies and practices.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both federal and various state governments have adopted, or are considering, laws, guidelines, or rules for the collection, distribution, use, and storage of information collected from or about consumers or their devices. For example, California enacted the California Consumer Privacy Act, or the CCPA,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statutory damages and a private right of action for data breaches that is expected to increase data breach litigation. Further, in November 2020, California voters passed the California Privacy Rights Act, or CPRA. The CPRA took effect on January 1, 2023, and creates obligations with respect to certain data relating to consumers as of January 1, 2022. The CPRA significantly expanded the CCPA, including by introducing additional obligations such as data minimization and storage limitations, granting additional rights to consumers, such as correction of personal information and additional opt-out rights, and creating a new entity, the California Privacy Protection Agency, to implement and enforce the law. Personal information we handle may be subject to the CCPA and CPRA, which may increase our compliance costs and potential liability. In 2025, the California Privacy Protection Agency approved new rules covering cybersecurity audits, risk assessments, and updates to existing CCPA regulations. Further, at least 15 other states have enacted privacy laws that took effect since the passage of CCPA. Eight took effect in 2025, including Iowa, Delaware, Maryland, Minnesota, Nebraska, New Hampshire, New Jersey, and Tennessee; and three more, Indiana, Kentucky, and Rhode Island, became effective on January 1, 2026. Aspects of these additional state comprehensive privacy statutes remain unclear, resulting in further legal uncertainty and potentially requiring us to modify our data practices and policies and to incur substantial additional costs and expenses in an effort to comply with a patchwork of different requirements. Other states are considering similar bills, which could be enacted in the future. In addition to fines and penalties that may be imposed for failure to comply with state law, some states also provide for private rights of action to customers for misuse of or unauthorized access to or disclosure of personal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requirements from our third-party technology and platform providers may also cause us to modify our offerings due to privacy concerns or may negatively affect our revenue due to reduced availability of information about consumers. For example, Apple iOS 14.5 and subsequent versions require apps in the Apple App Store to obtain user opt-in consent for tracking users across apps and websites owned by third parties for advertising and measurement purposes. Google introduced similar privacy features in 2022. As a consumer company that relies on digital marketing and customer data analytics, these platform changes may impact our ability to effectively target advertising and measure marketing campaign performance. These changes may reduce the quality of the data and related metrics that can be collected or used by us and our partners, and could significantly inhibit the effectiveness of our targeted advertising and related activities, which could materially affect our customer acquisition and marketing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risks posed by new privacy laws, we could be subject to claims alleging violations of long-established federal and state privacy and consumer protection laws, including those related to telephone and email communications with consumers. As an example, the Telephone Consumer Protection Act, or TCPA, is a federal law that imposes significant restrictions on the ability to make telephone calls or send text messages to mobile telephone numbers without the prior express written consent of the person being contacted for certain types of communications. The TCPA provides for substantial statutory damages for violations, which has generated extensive class action litigation. In addition, class action plaintiffs in the United States are employing novel legal theories to allege that federal and state eavesdropping/wiretapping laws and state constitutions prohibit the use of analytics technologies widely employed by website operators to understand how their users interact with their services. Despite our compliance efforts, our use of text messaging communications or similar analytics technologies could expose us to costly litigation, government enforcement actions, damages, and penalties, which could adversely affect our business,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of the United States, certain foreign jurisdictions, including the European Economic Area, or EEA, and the United Kingdom, have laws and regulations which are more restrictive in certain respects than those in the United States. For example, the EEA and the United Kingdom have adopted the GDPR (with the U.K. implementing its own version following Brexit), which applies to our collection, control, use, sharing, disclosure, and other processing of data relating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identified or identifiable living individual (personal data) to the extent we offer goods or services to, or monitor the behavior of, individuals in theses jurisdictions. The GDPR, and national implementing legislation in EEA member states and the United Kingdom, impose a strict data protection compliance regime including: providing detailed disclosures about how personal data is collected and processed (in a concise, intelligible and easily accessible form); granting new rights for data subjects in regard to their personal data (including the right to be “forgotten” and the right to data portability), as well as enhancing current rights (e.g., data subject access requests); requirements to have data processing agreements in place to govern the processing of personal data on behalf of other organizations; introducing the obligation to notify data protection regulators or supervisory authorities (and in certain cases, affected individuals) of significant data breaches; maintaining a record of data processing; and complying with the principle of accountability and the obligation to demonstrate compliance through policies, procedures, trainings, and audits.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or may become subject, to various other data privacy and security laws and regulations of other foreign jurisdictions, including those in China and South Korea. On June 10, 2021, the People’s Republic of China, or the PRC, passed the PRC Data Security Law, or the DSL. The DSL, which became effective on September 1, 2021, imposes data privacy and cybersecurity obligations on entities carrying out processing of personal data and stipulates that entities processing of data outside China will be liable for damages to the interests of PRC citizens. Also, on August 20, 2021, the PRC passed the Personal Information Protection Law, or the PIPL. The PIPL, which took effect in November 2021, puts in place rules for processing personal information of PRC citizens. Like the GDPR and CCPA, the DSL and PIPL apply to processing of personal information outside China but for purpose of providing products or services to PRC citizens. On January 1, 2025, China implemented Regulations on Network Data Security Management, which expanded obligations on processing activities under the existing PIPL, the Cybersecurity Law, and the Data Security Law.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Since we collect and process personal information on PRC citizens, we are or may become subject to and may be ordered to comply with PRC regulations associated with the DSL and PIPL. In addition, we may be subject to heightened PRC regulatory scrutiny in the future. As there remains significant uncertainty in the interpretation and enforcement of the DSL and the PIPL, we cannot assure you that we will comply with such regulations in all respects. Any non-compliance may subject us to fines, orders to remediate or terminate any actions that are deemed illegal by regulatory authorities, as well as damage to our reputation, or legal proceedings against us, which may affect our business,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may be subject to European Union rules with respect to cross-border transfers of personal data out of the EEA. Recent legal developments in Europe have created complexity and uncertainty regarding transfers of personal data from the EEA to the United States. We may make use of alternative data transfer mechanisms such as standard contractual clauses, or SCCs, approved by the European Commission on June 4, 2021. These new SCCs may require us to expend significant resources to update our contractual arrangements and to comply with such obligations. Further, data protection authorities may require measures to be put in place in addition to SCCs for transfers to countries outside of the EEA, as well as Switzerland and the United Kingdom. Our third-party service providers may also be affected by these changes. In addition to other impacts, we may experience additional costs to comply with these changes, and we and our customers face the potential for regulators in the EEA, Switzerland, or the United Kingdom to apply different standards to the transfer of personal data to the United States and other non-EEA countries, and to block, or require ad hoc verification of measures taken with respect to certain data flows to the United States and other non-EEA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In such cases, we may not be able to find alternative service providers, which could limit our ability to process personal data from the EEA, Switzerland, or the United Kingdom and increase our costs.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recent developments may require us to review and amend the legal mechanisms by which we make and/or receive personal data transfers to/in the United States.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Fines for certain breaches of the GDPR are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harm), potentially amounting to significant compensation or damages liabilities, as well as associated costs, diversion of internal resources, and reputational harm.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United Kingdom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 Additionally, the relationship between the United Kingdom and the European Union in relation to certain aspects of data protection law remains unclear following the United Kingdom’s exit from the European Union, including with respect to regulation of data transfers between E.U. member states and the United Kingdom. On June 28, 2021, the European Commission announced a decision of “adequacy” concluding that the United Kingdom ensures an equivalent level of data protection to the GDPR, which provides some relief regarding the legality of continued personal data flows from the EEA to the United Kingdom.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United Kingdom will be regulated.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evolving E.U. privacy laws on cookies and e-marketing. In the European Union, regulators are increasingly focusing on compliance with requirements in the online behavioral advertising ecosystem. In the European Union, informed consent is required for the placement of a cookie or similar technologies on a user’s device and for direct electronic marketing. The GDPR also imposes conditions on obtaining valid consent, such as prohibition on pre-checked consents and a requirement to ensure separate consents are sought for each type of cookie or similar technology. European court decisions and regulators’ recent guidance continue to drive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and may negatively impact our efforts to understand users.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compliance with legal and contractual obligations may require us to make public statements about our privacy and data security practices, including the statements we make in our online privacy policy. Although we endeavor to comply with these statements, should they prove to be untrue or be perceived as untrue, even through circumstances beyond our reasonable control, we may face litigation, claims, investigations, inquiries, or other proceedings by the U.S. Federal Trade Commission, state attorneys general, and other federal, state, and foreign regulators and private litigants alleging violations of privacy or consumer protection laws.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actual or perceived non-compliance with these rapidly changing laws, regulations, or standards or our contractual obligations relating to privacy, data protection, and consumer protection by us or the third-party companies we work with could result in litigation and proceedings against us by governmental entities, consumers, or others, fines and civil or criminal penalties for us or company officials, obligations to cease offerings or to substantially modify our business in a manner that makes it less effective in certain jurisdictions, negative publicity, and harm to our brand and reputation, and reduced overall demand for our products, any of which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social media, emails, push notifications, and text messages in ways that do not comply with applicable laws and regulations, lead to the loss or infringement of intellectual property, or result in unintended disclosure may harm our reputation or subject us to fines or other penalties.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social media, emails, push notifications, and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customers, third-party vendors, or others. Information concerning us or our customers, whether accurate or not, may be posted on social media platforms at any time and may have an adverse impact on our brand, reputation, or business. The harm may be immediate without affording us an opportunity for redress or correction and could have a material adverse effect on our reputation, business, results of operations, financial condition,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Other Legal, Regulatory, and Taxation Matters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Government regulation of the internet and eCommerce is evolving, and unfavorable changes or failure by us to comply with these regulations, whether or not inadvertent, could substantially harm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customer protection, and internet neutrality. It is not clear how existing laws governing issues such as property ownership, sales, and other taxes and customer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by customers and suppliers, and may result in the imposition of monetary liabilities. We may also be contractually liable to indemnify and hold harmless third parties from the costs or consequences of our own non-compliance with any such laws or regulations. As a result, adverse developments with respect to these laws and regulations could substantially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have and may continue to face exposure to foreign currency exchange rate fluctuations.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Following our transition to a distributor model in international markets except the United Kingdom, our direct foreign currency exposure has been significantly reduced. However, we continue to have some exposure to foreign currency fluctuations, primarily related to our U.K. retail operations and certain supply chain costs. For example, to acquire the supply of raw materials or commodities such as wool that we expect to require for our business, we may enter into contracts with pricing denominated in currencies other than the U.S. dollar. Accordingly, changes in the value of foreign currencies relative to the U.S. dollar have affected and may in the future continue to affect our net revenue and results of operations.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Any failure to comply with trade, anti-corruption, and other regulations could lead to investigations or actions by government regulators and negative publicity.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labeling, distribution, importation, marketing, and sale of our products are subject to extensive regulation by various federal agencies, including the Federal Trade Commission, as well as by various other federal, state, provincial, local, and international regulatory authorities in the countries in which our products are currently distributed or sold. If we fail to comply with any of these regulations, we could become subject to enforcement actions or the imposition of significant penalties or claims, which could harm our results of operations or our ability to conduct our business. Legal proceedings or any investigations or inquiries by governmental agencies related to these or any other matters, could result in significant settlement amounts, damages, fines, or other penalties, divert financial and management resources, and result in significant legal fees. An unfavorable outcome of any particular proceeding could have an adverse impact on our business, financial condition, and results of operations. In addition, the adoption of new regulations or changes in the interpretation of existing regulations may result in significant compliance costs or discontinuation of product sales and could impair the marketing of our products, resulting in significant loss of net revenue.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products are derived from third-party supply and manufacturing partners in foreign countries and territories, including countries and territories perceived to carry an increased risk of corrupt business practices. We also have subsidiaries and/or employees and other agents working in several foreign countries and territories, including, but not limited to, the United Kingdom, the People’s Republic of China, and Hong Kong. We are subject to the U.S. Foreign Corrupt Practices Act of 1977, as amended, or FCPA, the U.S. domestic bribery statute contained in 18 U.S.C. § 201, the U.S. Travel Act, the USA PATRIOT Act, the U.K. Bribery Act 2010, and possibly other anti-bribery and anti-money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laundering laws in countries in which we conduct activities. These laws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adversely affect our reputation,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policies and procedures relating to anti-bribery and anti-corruption compliance, our employees, contractors, and agents, and companies to which we outsource certain of our business operations, may take actions in violation of our policies and applicable law, for which we may be ultimately held responsible and which could lead to an adverse effect on our reputation,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violation of the FCPA, other applicable anti-corruption laws, or anti-money laundering laws could result in whistleblower complaints, adverse media coverage, investigations, loss of export privileges, or severe criminal or civil sanctions, any of which could have an adverse effect on our business, financial condition, and results of operations. In addition, responding to any enforcement action may result in a significant diversion of management’s attention and resources and significant defense costs and other professional fees.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Uncertainties in the interpretation and application of existing, new and proposed tax laws and regulations could materially affect our tax obligations and effective tax rate.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our suppliers, manufacturers, or our customers, including as a result of related uncertainty, these changes may adversely impact our business, financial condition, results of operations, and cash flows.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and maintaining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we currently collect sales taxes in all jurisdictions that require us to do so, a successful assertion by one or more jurisdictions requiring us to collect sales taxes where we currently do not collect sales taxes, or to collect additional sales taxes in a jurisdiction in which we currently collect sales taxes, could result in substantial tax liabilities (including penalties and interest). In addition, the imposition of additional sales tax collection obligations, whether for prior years or prospectively, could create additional administrative burdens for us, put us at a competitive disadvantage if similar obligations are not imposed on our competitors and decrease our future sales, which could have an adverse impact on our business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ability to use our net operating loss carryforwards may be limited.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net operating losses during our history. Subject to the limitations described below, unused net operating losses generally may carry forward to offset future taxable income if we achieve profitability in the future, unless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such net operating losses expire under applicable tax laws. Under current law, unused U.S. federal net operating losses generated in tax years beginning after December 31, 2017, will not expire and may be carried forward indefinitely, but the deductibility of such federal net operating loss carryforwards is limited to 80% of taxable income. It is uncertain if and to what extent various states will conform to current federal tax law. In addition, our ability to utilize our federal net operating carryforwards may be limited under Section 382 of the Internal Revenue Code of 1986, as amended, or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 law may also apply to limit the use of our state net operating loss carryforwards. We have not yet completed a Section 382 analysis, and therefore, there can be no assurances that any previously experienced ownership changes have not materially limited our utilization of affected net operating loss carryforwards. Past or future changes in our stock ownership, including as a result of our initial public offering, some of which may be outside of our control, may have triggered or may trigger an ownership change that materially impacts our ability to utilize pre-change net operating loss carryforwards. Moreover, there may be periods during which the use of net operating loss carryforwards in various jurisdictions is suspended or otherwise subject to additional limitations. Accordingly, our ability to use our net operating loss carryforwards to offset taxable income may be subject to such limitations or special rules that apply at the state level, which could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currently and may again in the future be subject to claims and litigation that could result in unexpected expenses and could ultimately be resolved against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litigation and other proceedings, including matters related to product liability claims, stockholder class action and derivative claims, commercial disputes, and copyright infringement, challenging trademarks, and other intellectual property claims, as well as trade, regulatory, employment, and other claims related to our business or our sustainability and ESG practices, statements, and goals. For example, on April 13, 2023, and on May 16, 2023, we and certain of our executive officers and directors were named as defendants in two substantially similar securities class action lawsuits alleging that we violated Sections 10(b) and 20(a) of the Exchange Act and SEC Rule 10b-5, 17 C.F.R. § 240.10b-5, promulgated thereunder, and Sections 11 and 15 of the Securities Act by making materially false and/or misleading statements about our business, operations and prospects. These two cases are captioned Shnayder v. Allbirds, Inc., et al., Case No. 23-cv-01811-AMO (N.D. Cal.); Delgado v. Allbirds, Inc., et al., Case No. 23-cv-02372-AMO (N.D. Cal.). On July 25, 2023, the court entered an order consolidating the two cases, appointing lead plaintiffs, and approving lead plaintiffs’ selection of lead counsel. On February 27, 2026, the consolidated action was dismissed with prejudice. While these claims have been resolved, any future litigation or proceedings could result in significant settlement amounts, damages, fines, or other penalties, divert financial and management resources, and result in significant legal fees. An unfavorable outcome of any particular proceeding could exceed the limits of our insurance policies, or the carriers may decline to fund such final settlements and/or judgments and could have an adverse impact on our business, financial condition, and results of operations. In addition, any proceeding could negatively impact our reputation among our customers and our brand image.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Status as a Public Benefit Corporation and Certified B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status as a public benefit corporation may not result in the benefits that we anticipate.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PBC under Delaware law. As a PBC, we are required to produce a public benefit and to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While we believe our PBC status is meaningful to customers, brand, employees, and other business partners and that our public benefit of environmental conservation is of vital importance to our planet, there is no assurance that we will achieve our public benefit purpose or that the expected positive impact from being a PBC will be realized. Accordingly, being a PBC and complying with our related obligations could negatively impact our ability to provide the highest possible return to our stockholders.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PBC, we are required to provide our stockholders with a report at least biennially assessing our overall public benefit performance and our success in achieving our specific public benefit purpose. To the extent we are unable to provide this report in a timely manner, or if the report is not viewed favorably by our stockholders, parties doing business with us, regulators, or others because we are unable to report sufficient progress toward our public benefit or otherwise, our reputation and status as a PBC may be harmed, which could in turn have a material adverse effect on our business, results of operations and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publicly reported certified B Corp score declines, or if we lose our certified B Corp status, our reputation could be harmed and our business could suffer.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not required by Delaware law or the terms of our certificate of incorporation, we have elected to have our social and environmental performance, accountability, and transparency assessed against the criteria established by an independent non-profit organization, B Lab, Inc., or B Lab. As a result of this assessment, we have been designated as a certified B Corp, which refers to a company that has been certified as meeting certain levels of social and environmental performance, accountability, and transparency. The standards set for B Corp certification may change over time. Our continued certification is at the sole discretion of B Lab. We believe that our B Corp status strengthens our credibility and trust among our customers, employees and business partners as well as within our industry. Investors who are focused on ESG- and sustainability-related initiatives may also place importance on our status as a B Corp, as an independent assessment of our social and environmental performance, accountability, and transparency. Any decline in our publicly reported B Corp score or change in our status, whether due to our choice or failure to meet the B Corp certification requirements, could create a perception that we are more focused on financial performance and no longer as committed to the values and standards shared by B Corps. This could harm our reputation and brand among customers, employees or business partners, which could harm our business and results of operations, and cause the stock price of our Class A common stock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directors have a fiduciary duty to consider not only our stockholders’ interests, but also our specific public benefit and the interests of other stakeholders affected by our conduct. If a conflict between such interests arises, there is no guarantee such a conflict would be resolved in favor of our stockholders.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directors of traditional corporations are required to make decisions they believe to be in the best interests of their stockholders, directors of a PBC have a fiduciary duty to balance the stockholders’ pecuniary interests, the best interests of other stakeholders materially affected by the PBC’s conduct and the company’s specific public benefit. Under Delaware law, directors are shielded from liability for breach of these fiduciary obligations if they make informed and disinterested decisions that serve a rational purpose. Thus, our directors are not merely permitted, but obligated, to consider our specific public benefit and the interests of other stakeholders. In the event of a conflict between the financial interests of our stockholders and the interests of our specific public benefit or our other stakeholders, our directors are obligated to make informed and disinterested decisions that serve a rational purpose; thus, there is no guarantee that such a conflict would be resolved in favor of our stockholders’ financial interests. Accordingly, Delaware law and our PBC status could result in our board of directors making decisions which are less financially lucrative for our stockholders in the short- and/or long-term if the public benefit and other stakeholder considerations are significant; this could harm our business, results of operations, and financial condition, which in turn could cause our stock price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 a public benefit corporation, our focus on a specific public benefit purpose and producing a positive effect for society may negatively influence our financial performance.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PBC, our board of directors has a duty to balance (1) the pecuniary interest of our stockholders, (2) the best interests of those materially affected by our conduct, and (3) the specific public benefit of environmental conservation identified in our certificate of incorporation. While we believe our public benefit designation and obligations will benefit our stockholders, in balancing these interests our board of directors may authorize and we may take actions that we believe will benefit environmental conservation or some or all of our stakeholders, even if those actions do not maximize our short- or medium-term financial results. While we believe that this designation and obligation will benefit the company given the importance to our long-term success of our commitment to environmental conservation, it could cause our board of directors to make decisions and take actions not in keeping with the short-term or more narrow interests of our stockholders. Any longer-term benefits that are intended by or expected from such decisions or actions may not materialize within the timeframe we expect or at all and such decisions or actions may have an immediate negative effect. For example, we may choose to revise our policies in ways that we believe will further promote environmental conservation and sustainability, even though such changes may be costly; we may take actions, such as building or contracting with suppliers and service providers who have state-of-the-art manufacturing and distribution facilities with technology and quality control mechanisms that exceed the applicable legal requirements and industry standards, even though these actions may be more costly than other alternatives; we may be influenced to pursue programs and opportunities to demonstrate our commitments to our planet, the environment and the communities in which we live and work; or in responding to a possible proposal to acquire the company, our board of directors may be influenced by the interests of our stakeholders, including our flock, our suppliers, vendors, manufacturers, and distributors, and our customers, any or all of whose interests may be different from the interests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may be unable or slow to realize the benefits we expect from actions taken to promote environmental conservation, which could materially adversely affect our business, financial condition, and results of operations, which in turn could cause our stock price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 a public benefit corporation, we may be subject to increased derivative litigation concerning our duty to balance stockholder and public benefit interests, the occurrence of which may have an adverse impact on our financial condition and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PBC, our stockholders (if they, individually or collectively, own at least 2% of our outstanding capital stock or shares having at least $2 million in market value (whichever is less)) are entitled to file a derivative lawsuit claiming that our directors failed to balance stockholder and public benefit interests. Such derivative actions would be subject to the provision of our amended and restated certificate of incorporation requiring that, to the fullest extent permitted by law, such lawsuits be exclusively brought in the Court of Chancery of the State of Delaware or, if such court does not have subject matter jurisdiction thereof, the federal district court of the State of Delaware. Although traditional corporations are subject to other types of derivative actions brought by stockholders, this type of claim does not exist for traditional corporations. Therefore, we may be subject to the possibility of increased derivative litigation, which would require the attention of management and, as a result, may adversely impact management’s ability to effectively execute our strategy. Any such derivative litigation could be costly and have an adverse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market price of our Class A common stock has declined and may decline further regardless of our operating performance, resulting in substantial losses for investors purchasing shares of our Class A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Class A common stock has experienced and may in the future experience high volatility and significant fluctuations in response to numerous factors, many of which are beyond our control, including: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our business operations and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actual or anticipated fluctuations in our financial condition and results of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financial projections we may provide to the public, any changes in these projections, or our failure to meet these projections;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of securities analysts to initiate or maintain coverage of our company, changes in financial estimates or ratings by any securities analysts who follow our company, or our failure to meet these estimates or the expectations of investors;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technical innovations, acquisitions, strategic partnerships, joint ventures, results of operations, or capital commitments;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stock market valuations and operating performance of other footwear and apparel companies generally, or those in our industry in particular;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sustainability targets we may provide to the public, any changes in these targets, or our failure to meet them;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price and volume fluctuations in the overall stock market, including as a result of trends in the economy as a whole;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our board of directors or management;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of large blocks of our Class A common stock, including sales by our co-founders or our other executive officers and directors or by their affiliates;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lawsuits threatened or filed against us;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anticipated or actual changes in laws, regulations, or government policies applicable to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our capital structure, such as future issuances of debt or equity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short sales, hedging, and other derivative transactions involving our capital stock;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general economic conditions in the United States and globally;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other events or factors, including those resulting from war (such as the war in Iran and the broader conflict in the Middle East and Russia’s invasion of Ukraine), pandemics (including COVID-19), incidents of terrorism, or responses to these events;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other factors described in this “Part I, Item 1A. Risk Factors” and in the section titled “Special Note Regarding Forward-Looking Statements” included elsewhere in this Annual Report on Form 10-K.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Price volatility may be greater if the public float and trading volume of shares of our Class A common stock is low. Furthermore, in the past, stockholders have sometimes instituted securities class action litigation against companies following periods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volatility in the market price of their securities. For example, on April 13, 2023, and on May 16, 2023, we and certain of our executive officers and directors were named as defendants in two substantially similar securities class action lawsuits alleging that we violated Sections 10(b) and 20(a) of the Exchange Act and SEC Rule 10b-5, 17 C.F.R. § 240.10b-5, promulgated thereunder, and Sections 11 and 15 of the Securities Act of 1933, or the Securities Act, by making materially false and/or misleading statements about our business, operations and prospects. These two cases are captioned Shnayder v. Allbirds, Inc., et al., Case No. 23-cv-01811-AMO (N.D. Cal.); Delgado v. Allbirds, Inc., et al., Case No. 23-cv-02372-AMO (N.D. Cal.). On July 25, 2023, the court entered an order consolidating the two cases, appointing lead plaintiffs, and approving lead plaintiffs’ selection of lead counsel. On February 27, 2026, the consolidated action was dismissed with prejudice. We intend to vigorously defend against these lawsuits. This specific litigation and any similar such litigation against us could result in substantial costs, divert management’s attention and resources, and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satisfy all applicable requirements of Nasdaq and it determines to delist our Class A common stock, the delisting could adversely affect the market liquidity of our Class A common stock and the market price of our Class A common stock could decrease.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currently listed on the Nasdaq Global Select Market under the symbol “BIRD.” To maintain the listing of our Class A common stock on the Nasdaq Global Select Market, we are required to meet certain listing requirements, including, a minimum closing bid price of $1.00 per share.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2, 2024, we received notice from Nasdaq that we were not in compliance with Nasdaq’s Listing Rule 5450(a)(1) because the closing bid price of our Class A common stock had fallen below $1.00 per share for 30 consecutive days. In accordance with Nasdaq Listing Rule 5810(c)(3)(A), we were provided with an initial period of 180 calendar days to regain compliance with Nasdaq’s bid price requirement.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30, 2024, following stockholder and Board of Directors’ approval, we announced that we had filed with the Secretary of State of the State of Delaware a Certificate of Amendment to the Certificate to effect the Reverse Stock Split at a ratio of 1-for-20, effective as of 5:00 p.m. Eastern Standard Time on September 4, 2024. The common stock began trading on a Reverse Stock Split-adjusted basis on The Nasdaq Global Select Market on September 5, 2024. On September 23, 2024, the Company received notice from Nasdaq confirming that the Company had regained compliance with the minimum closing bid price criteria of the Nasdaq listing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maintain compliance with the requirements for listing our Class A common stock on Nasdaq. If we are unable to satisfy the Nasdaq criteria for continued listing, our Class A common stock would be subject to delisting. A delisting of our Class A common stock could negatively impact us by, among other things, reducing the liquidity and market price of our Class A common stock; reducing the number of investors willing to hold or acquire our Class A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dual class structure of our common stock may adversely affect the trading market for our Class A 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announced changes to their eligibility criteria for the inclusion of shares of public companies on certain indices, including the S&amp;P 500, the S&amp;P MidCap 400, and the S&amp;P SmallCap 600, to exclude companies with multiple classes of shares of common stock from being added to these indices; however, in April 2023, S&amp;P Dow Jones announced its decision that companies with multiple share class structures will be considered eligible candidates for addition to the S&amp;P Composite 1500 and its component indices provided they meet all other eligibility criteria.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These policies are still fairly new, and it remains unclear what effect, if any, they will have on the valuations of publicly traded companies excluded from the indices in the longer term,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Sales, directly or indirectly, of a substantial amount of our Class A common stock in the public markets by our existing security holders may cause the price of our Class A common stock to decline.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(including any such shares issued upon conversion of shares of our Class B common stock) into the public market, particularly sales by our directors, executive officers, and principal stockholders, or the perception that these sales might occur, could cause the market price of our Class A common stock to decline. Many of our existing security holders have substantial unrecognized gains on the value of the equity they hold and may take steps to sell their shares or otherwise secure or limit their risk exposure to the value of their unrecognized gains on those shares. We are unable to predict the timing or effect of such sales on the market price of our Class A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Further, based on shares outstanding as of December 31, 2025, holders of a substantial number of shares of our Class B common stock had rights, subject to certain conditions, to require us to file registration statements for the public resale of such shares or to include such shares in registration statements that we may file for us or other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dual class structure of our common stock has the effect of concentrating voting control with our co-founders, Timothy Brown and Joseph Zwillinger, our directors, our principal stockholders, and their respective affiliates, which limits or precludes the ability of our other stockholders to influence corporate matters, including the election of directors and the approval of any change of control transaction.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10 votes per share and our Class A common stock has one vote per share. Mr. Zwillinger, our co-founder, and Mr. Brown, our co-founder, our directors, our principal stockholders, and their respective affiliates beneficially own a significant percentage of the voting power of our outstanding capital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stockholders will have the ability to control the outcome of matters submitted to our stockholders for approval, including the election of our directors and the approval of any change of control transaction. This concentrated control will limit or preclude the ability of our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may issue additional equity securities to raise capital, to make acquisitions, or for a variety of other purposes. Additional issuances of our stock may be made pursuant to the exercise or conversion of new or existing convertible debt securities, warrants, stock options, or other equity incentive awards to new and existing service providers. Any such issuances will result in dilution to existing holders of our stock. We rely on equity-based compensation as an important tool in recruiting and retaining employees. The amount of dilution due to equity-based compensation of our employees and other additional issuances could be substantial.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Delaware law, our status as a public benefit corporation,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Class A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could also limit the price that investors might be willing to pay in the future for shares of our Class A common stock, thereby depressing the market price of our Class A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PBC, we may be less attractive as a takeover target than a traditional company. PBCs may also not be attractive targets for activists or hedge fund investors because new directors would still have to consider and give appropriate weight to the public benefit along with stockholder value, and stockholders can enforce this through derivative suits. Furthermore, by requiring the boards of directors of PBCs to consider additional constituencies other than maximizing stockholder value, Delaware PBC law could potentially make it easier for such a board to reject a hostile bid, even where the takeover would provide the greatest short-term financial yield to investors.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may frustrate or prevent any attempts by our stockholders to replace or remove our current management. Because our board of directors is responsible for appointing the members of our management team, these provisions could in turn affect any attempt by our stockholders to replace current members of our management team. Among others, these provisions include those that: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for a dual class common stock structure in which holders of our Class B common stock may have the ability to control the outcome of matters requiring stockholder approval, including the election of directors and significant corporate transactions, such as a merger or other sale of our company or its assets, even if they own significantly less than a majority of the outstanding shares of our common stock;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restrict the forum for certain litigation against us to Delaware or the federal courts, as applicable;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our board of directors has the exclusive right to expand the size of our board of directors and to elect directors to fill a vacancy created by the expansion of our board of directors or the resignation, death or removal of a director, which prevents stockholders from being able to fill vacancies on our board of directors;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divide our board of directors into three classes, Class I, Class II, and Class III, with each class serving staggered three-year terms, which may delay the ability of stockholders to change the membership of a majority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a special meeting of stockholders may be called only by the chair of our board of directors, a chief executive officer, or our board of directors, which may delay the ability of our stockholders to force consideration of a proposal or to take action, including the removal of directors;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prohibit cumulative voting in the election of directors, which limits the ability of minority stockholders to elect director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our board of directors may alter our amended and restated bylaws without obtaining stockholder approval;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require the approval of holders of at least two-thirds of the voting power of the shares of capital stock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require the approval of holders of at least two-thirds of the voting power of the shares of capital stock entitled to vote at an election of directors to amend or repeal any provisions of our amended and restated certificate of incorporation relating to our status as a PBC;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the approval of holders of at least two-thirds of the voting power of the shares of capital stock entitled to vote at an election of directors to merge or consolidate with or into another entity if, as a result of such merger or consolidation, the capital stock of Allbirds would become, or be converted into or exchanged for the right to receive, shares or other equity interests in a domestic or foreign corporation that is not a public benefit corporation or similar entity and the certificate of incorporation (or similar governing document) of which does not contain a public benefit provision identical to ours;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require that stockholders must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authorize our board of directors to issue shares of preferred stock and to determine the terms of those shares, including preferences and voting rights, without stockholder approval, which could be used to significantly dilute the ownership of a hostile acquirer.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or DGCL, which generally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provides that the Court of Chancery of the State of Delaware will be the sole and exclusive forum for certain stockholder litigation matters and the U.S. federal district courts will be the exclusive forum for the resolution of any complaint asserting a cause of action arising under the Securities Act, which could limit our stockholders’ ability to obtain a favorable judicial forum for disputes with us or our directors, officers, employees, or stockholders.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otherwise consent in writing, (A) (1) any derivative action or proceeding brought on our behalf, (2) any action asserting a claim of breach of a fiduciary duty owed by any current or former director, officer, other employee or stockholder of Allbirds to us or our stockholders, (3) any action asserting a claim arising pursuant to any provision of the DGCL, our amended and restated certificate of incorporation, or our amended and restated bylaws (as either may be amended or restated) or as to which the DGCL confers exclusive jurisdiction on the Court of Chancery of the State of Delaware, or (4)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and thus both state and federal courts have jurisdiction to entertain such claims. Our amended and restated certificate of incorporation includes the provision outlined in (B) to prevent having to litigate claims in multiple jurisdictions and the threat of inconsistent or contrary rulings by different courts, among other considerations. Notwithstanding the foregoing, the exclusive forum provision shall not apply to claims seeking to enforce any liability or duty created by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contained in our amended and restated certificate of incorporation to be inapplicable or unenforceable in an action, we may incur additional costs associated with litigating Securities Act claims in state court, or both state and federal court,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individuals covered by our market opportunity estimates will purchase our products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seek to grow our business through acquisitions of, or investments in, new or complementary businesses,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facilities, technologies, or products, or through strategic alliances; the failure to adequately manage these acquisitions, investments, or alliances, to integrate them with our existing business, or to realize anticipated returns, could adversely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 Acquisitions, investments and other strategic alliances involve numerous risks, including: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problems integrating the acquired business, facilities, technologies, or products, including issues maintaining uniform standards, procedures, controls, policies, and culture;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unanticipated costs associated with acquisitions, investments, or strategic alliances;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diversion of management’s attention from our existing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adverse effects on existing business relationships with suppliers, outsourced manufacturers, and other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risks associated with entering new markets in which we may have limited or no experience;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potential loss of key employees of acquired businesses;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legal and accounting compliance costs.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identify acquisitions or strategic relationships we deem suitable. Even if we do, we may be unable to successfully complete any such transactions on favorable terms or at all, or to successfully integrate any acquired business, facilities, technologies, or products into our business or retain any key personnel, suppliers, or customers. Furthermore, even if we complete such transactions and effectively integrate the newly acquired business or strategic alliance into our existing operations, we may fail to realize the anticipated returns and/or fail to capture the expected benefits, such as strategic or operational synergies or cost savings. The efforts required to complete and integrate these transactions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or if we fail to realize anticipated returns or capture expected benefits,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increase our costs, strain our resources, divert management’s attention, and affect our ability to attract and retain executive management and qualified board members.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financial condition, and results of operations. Although we have already hired additional employees to assist us in complying with these requirements, we may need to hire more employees in the future or engage outside consultants, which will increase our operating expenses.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As a public company that is subject to these new rules and regulations, it has been more expensive for us to obtain director and officer liability insurance compared to as a private company, and we may be required to accept reduced coverage or incur substantially higher costs to obtain coverage. These factors could also make it more difficult for us to attract and retain qualified members of our board of directors, particularly members who can serve on our audit and compensation and leadership management committees, and qualified executive officers.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disclosure obligations required of a public company, our business and financial condition is more visible than it was as a private company, which may result in an increased risk of threatened or actual litigation, including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or Section 404, to furnish a report by management on, among other things, the effectiveness of our internal control over financial reporting. This assessment requires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has required and will continue to require that we incur substantial expenses and expend significant management efforts. We have and will likely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and disclosure requirements applicable to emerging growth companies will make our Class A common stock less attractive to investors.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an “emerging growth company,” as defined in the Jumpstart Our Business Startups Act of 2012, or JOBS Act, and we may take advantage of certain exemptions from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(1) December 31, 2026, the last day of the fiscal year following the fifth anniversary of our initial public offering; (2) the last day of the first fiscal year in which our annual gross revenue is $1.235 billion or more; (3) the date on which we have, during the previous rolling three-year period, issued more than $1 billion in non-convertible debt securities; and (4) the date we qualify as a “large accelerated filer,” with at least $700 million of equity securities held by non-affiliates.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Class A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inaccurate or unfavorable research, about our business, the price of our Class A common stock and trading volume could decline.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depends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Geopolitical conflicts, including the ongoing conflict involving Iran and instability in the Middle East as well as the war between Russia and Ukraine, could adversely affect global economic conditions and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conflicts and tensions around the world have increased in recent years, including the escalation of hostilities involving Iran and other actors in the Middle East. Military actions, retaliatory strikes, and threats to key regional infrastructure and shipping routes have increased instability in the region and have contributed to volatility in global energy markets, financial markets, and supply chains. For example, the current conflict has raised concerns about disruptions to the Strait of Hormuz, a strategic shipping route through which a significant portion of the world’s supplies are transported. Such disruptions or the threat of disruptions can increase energy prices, raise transportation and logistics costs, and contribute to broader macroeconomic volatility. In addition, geopolitical conflicts can lead to increased cyberattacks, sanctions, export controls, or other government actions that may affect international commerce and global markets.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broadly, geopolitical instability and armed conflicts may result in sanctions, trade restrictions, embargoes, financial and banking limitations, asset freezes, and other measures imposed by the United States or other governments. These actions, as well as retaliatory measures, may disrupt global trade, financial markets, supply chains, and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since February 2022, Russia’s invasion of Ukraine has resulted in extensive sanctions and export controls imposed by the United States and other countries against Russia and Belarus, including restrictions on certain goods, services, technology, and financial transactions. Although we do not currently conduct business in Russia, Belarus, or Ukraine, the broader economic and geopolitical consequences of this conflict, together with other geopolitical tensions, remain uncertain.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Geopolitical conflicts and related government responses may contribute to volatility in global economic conditions, including impacts on energy prices, inflation, currency exchange rates, financial markets, supply chains, and consumer spending. Any of these developments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incur losses from fraud or theft.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occasionally in the past incurred, and may in the future incur, losses from various types of fraud, including stolen credit card numbers, claims that a customer did not authorize a purchase, and merchant fraud. As a general matter, we are liable for fraudulent credit card transactions. Although we have measures in place to detect and reduce the occurrence of fraudulent activity on our digital platform, those measures may not always be effective. In addition to the direct costs of such losses, if the fraud is related to credit card transactions and becomes excessive, it could potentially result in us paying higher fees or affecting our ability to accept credit cards for payment. Our failure to adequately prevent fraudulent transactions could damage our reputation, result in litigation or regulatory action, and lead to expenses that could substantially impact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Additionally, we have occasionally in the past been, and may in the future be, subject to fraudulent purchases by individuals purchasing our products in bulk with the intention of unlawfully reselling such products at a premium. While we have taken steps to detect and prevent such practices, our failure to identify those activities may adversely affect our brand and reputation.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occasionally in the past incurred and may in the future incur losses from theft or “leakage” of our products in our stores or in our distribution centers. While we have taken steps to detect and prevent such issues, those steps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always be effective. In addition to the direct costs of such losses, such theft or “leakage” of our products could result in lost revenue and unlawful reselling of our products, which could adversely affect our brand and reputation.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requires management to make estimates and assumptions that affect the amounts reported in our consolidated financial statements and accompanying notes appearing in Part IV, Item 15 of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and equity, and the amount of revenue and expenses. Significant estimates and judgments include revenue recognition, stock-based compensation, and the fair value of our common stock.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Extreme weather conditions, natural disasters, public health crises, and other catastrophic events, including those caused or exacerbated by climate change, could negatively impact our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Extreme weather conditions and volatile changes in weather conditions in the areas in which our offices, suppliers, customers, distribution centers, and vendors are located could adversely affect our results of operations and financial condition. Moreover, natural disasters such as earthquakes, hurricanes, tsunamis, floods, monsoons or wildfires, public health crises, such as pandemics and epidemics (including, for example, the COVID-19 pandemic), political crises, such as terrorist attacks, war and other political and geopolitical instability, or other catastrophic events, whether occurring in the United States or abroad, and their related consequences and effects, including energy shortages, could disrupt our operations, the operations of our vendors and other suppliers, or result in economic instability that could negatively impact customer spending, any or all of which would negatively impact our results of operations and financial condition. For example, our principal offices are located in Northern California, an area which has a history of earthquakes and wildfires, and are thus vulnerable to damage or disruption. In particular, these types of events could impact our global supply chain, including the ability of vendors to provide raw materials where and when needed, the ability of third parties to manufacture and ship merchandise, and our ability to ship products to customers from or to the impacted region(s).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Information technology is important to our business operations and we are committed to protecting the privacy, security and integrity of our data, as well as our employee and customer data. Accordingly, we monitor and update our information technology networks and infrastructure to prevent, detect, address and mitigate risks associated with unauthorized access, misuse, computer viruses and other events that could have a security impact. Additionally, to protect and secure sensitive data such as customer information, we employ multi-factor authentication, a suite of security tools, systems monitoring and alerting, audit logs, and controls across our major systems, corporate devices, and business processes. Our cybersecurity process is designed to assess, identify, prevent, and manage cybersecurity risks and threats, as well as identify, contain and respond to cybersecurity incidents. This process includes a variety of activities, such as company-wide security awareness training, including regular phishing simulations, acceptable use training, cyber wellness trainings and other targeted trainings throughout the year. These cybersecurity trainings provide employees the opportunity to gain an understanding of the various forms of cybersecurity incidents and enable our employees to handle and report any suspicious activity or threat.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date, our approach to cybersecurity has been effective in protecting the confidentiality, integrity, and availability of our information; however, we cannot guarantee that its efforts will be successful in preventing all cybersecurity incidents. Further, we currently maintain a cyber insurance policy that provides coverage for security breaches; however, such insurance may not be sufficient in type or amount to cover us against claims related to security breaches, cyber-attacks and other related breaches.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do not believe that there are currently any known risks from cybersecurity threats, including as a result of any prior cybersecurity incidents, that are reasonably likely to materially affect us or our business strategy, results of operations or financial condition. Refer to Part I, Item 1A of this Annual Report on Form 10-K for additional discussion about cybersecurity related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Given that cybersecurity is a critical component of our enterprise, cybersecurity risks are among the enterprise risks that the Board oversees, primarily through delegation to the Audit Committee of the Board. As reflected in its charter, the Audit Committee assists the Board in overseeing the Company’s privacy and information security policies.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Audit Committee engages on cybersecurity matters with our management team, including our Chief Technology and Supply Chain Officer, and receives periodic reports from management on cybersecurity. Our Chief Technology and Supply Chain Officer joined us in 2017 and has more than 20 years of technology-related roles and responsibilities. These presentations address a range of topics including, the threat landscape and cybersecurity events, vulnerability assessments, incident preparedness assessments, and cybersecurity awareness training. In addition, management updates the Audit Committee, as necessary, regarding any material cybersecurity incidents, as well as any incidents with lesser impact potential. The Board receives regular updates on the activities of the Audit Committee, including with regard to cybersecurity oversight.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team, including the Chief Technology and Supply Chain Officer and Chief People and Legal Officer, is responsible for assessing and managing our material risks from cybersecurity threats. The team has primary responsibility for our overall cybersecurity risk management and supervises both our internal and external cybersecurity resources. Our management team supervises efforts to prevent, detect, mitigate, and remediate cybersecurity risks and incidents through various means, which may include briefings from internal personnel; threat intelligence and other information obtained from governmental, public or private sources, and alerts and reports produced by security tools deployed in the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operated 23 retail locations around the world. Our corporate headquarters is located in San Francisco, where we lease approximately 5,500 square feet of space under one lease that expires in December 2026. In addition to our corporate headquarters, we have satellite corporate office locations in Portland, London and Ho Chi Minh City where we lease or have co-working arrangements that total approximately 30,000 square feet of office space. We use our corporate offices for product design and development, innovation around sustainable materials, operations, marketing, technology, and customer experience, as well as our other supporting teams. All of our offices and retail locations are leased, and we do not own any real property.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also leased property in the following countries around the world that serve as our 23 retail locations, totaling approximately 77,000 square feet, as set forth below.</w:t>
      </w:r>
    </w:p>
    <w:tbl>
      <w:tblPr>
        <w:tblW w:w="2786" w:type="dxa"/>
        <w:jc w:val="left"/>
        <w:tblInd w:w="0" w:type="dxa"/>
        <w:tblLayout w:type="fixed"/>
        <w:tblCellMar>
          <w:top w:w="28" w:type="dxa"/>
          <w:left w:w="28" w:type="dxa"/>
          <w:bottom w:w="28" w:type="dxa"/>
          <w:right w:w="28" w:type="dxa"/>
        </w:tblCellMar>
      </w:tblPr>
      <w:tblGrid>
        <w:gridCol w:w="554"/>
        <w:gridCol w:w="485"/>
        <w:gridCol w:w="491"/>
        <w:gridCol w:w="109"/>
        <w:gridCol w:w="109"/>
        <w:gridCol w:w="109"/>
        <w:gridCol w:w="272"/>
        <w:gridCol w:w="272"/>
        <w:gridCol w:w="385"/>
      </w:tblGrid>
      <w:tr>
        <w:trPr/>
        <w:tc>
          <w:tcPr>
            <w:tcW w:w="5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Stores</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retail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believe that our current facilities are adequate to meet our foreseeable needs, we may lease additional facilities or vacate existing facilities as our operations require. For example, we have vacated and currently sublease two corporate office spaces in San Francisco and San Diego,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December 31, 2025, the Company closed all of its remaining full-price stores in the United States, and currently has a total of 4 retail locations in the United States and the United Kingdom.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legal proceedings, claims, and government investigations in the ordinary course of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13, 2023, and on May 16, 2023, we and certain of our executive officers and directors were named as defendants in two substantially similar securities class action lawsuits, captioned Shnayder v. Allbirds, Inc., et al., Case No. 23-cv-01811-AMO and Delgado v. Allbirds, Inc., et al., Case No. 23-cv-02372-AMO, filed in the United States District Court for the Northern District of California. These lawsuits allege that we violated Sections 10(b) and 20(a) of the Exchange Act and SEC Rule 10b-5, 17 C.F.R. § 240.10b-5, promulgated thereunder, and Sections 11 and 15 of the Securities Act by making materially false and/or misleading statements about our business, operations and prospects. The plaintiffs seek damages in an unspecified amount. On July 25, 2023, the court entered an order consolidating the two cases, appointing lead plaintiffs, and approving lead plaintiffs’ selection of lead counsel. On September 15, 2023, lead plaintiffs filed a consolidated amended complaint against the same group of defendants and asserting the same claims. On November 3, 2023, we filed a motion to dismiss the consolidated amended complaint and the court granted the motion on May 10, 2024, but provided plaintiffs with leave to amend their complaint. The plaintiffs filed an amended complaint in July 2024 and we filed a motion to dismiss the amended complaint and such motion was granted with prejudice on February 27, 2026. We intend to vigorously defend against this lawsuit.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3, 2023 and January 3, 2025, we and certain of our executive officers and directors were named as defendants in shareholder derivative suits, captioned Park v. Zwillinger, et al., Case No. 23-cv-01092-CFC, filed in the United States District Court for the District of Delaware and Wolfson v. Zwillinger, et al., Case No. 2025-0007, filed in Court of Chancery of the State of Delaware. These derivative lawsuits allege violations of Section 14(a) of the Exchange Act, contribution under Section 21D of the Exchange Act, breach of fiduciary duties, and aiding and abetting based on allegations that are substantially similar to those asserted in the securities class action. On October 13, 2023, we and certain of our past and current executive officers and directors were named as defendants in a substantially similar shareholder derivative suit, captioned Junker v. Zwillinger, et al., Case No. 23-cv-01152-CFC, filed in the United States District Court for the District of Delaware. This lawsuit alleges breach of fiduciary duties, unjust enrichment, violations of Section 10(b) of the Exchange Act, contribution under Section 11(f) of the Securities Act and Section 21D of the Exchange Act, and waste of corporate assets based on allegations that are substantially similar to those asserted in the securities class action and are currently stayed. We intend to vigorously defend against these lawsuits.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results of any current or future litigation cannot be predicted with certainty, and regardless of the outcome, litigation can have an adverse impact on us because of defense and settlement costs, diversion of management resources, harm to our brand and reputation,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Market Price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Class A common stock, par value $0.0001 per share, is listed on The Nasdaq Stock Market under the symbol “BIRD” and began trading on November 3, 2021. Prior to that date, there was no public trading market for our Class A common stock.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February 28, 2026, we had 17 holders of record of our Class A common stock and 26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relates to our operations and financial condition reported in the consolidated financial statements for the fiscal years ended December 31, 2025 and December 31, 2024 and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Allbirds is a purpose-driven lifestyle brand that innovates with sustainable materials to make better footwear and apparel products in a better way, while treading lighter on our planet.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generate our revenue via sales of footwear and apparel products, primarily through our direct business, a digitally-led vertical retail distribution strategy. We generally market directly to consumers via our localized digital platform. In addition to our direct business, we selectively partner with third parties, including distributors and retailers, to sell our products through their channels, which helps us reach more consumers and increase brand awareness.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Designing and creating products using innovative, sustainable materials is a challenging process for both us and our supply chain partners. We have invested time and resources to train our manufacturers to use our natural materials, which we believe makes it difficult to replicate our novel manufacturing processes at our product quality.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w:t>
      </w:r>
    </w:p>
    <w:p>
      <w:pPr>
        <w:pStyle w:val="TextBody"/>
        <w:bidi w:val="0"/>
        <w:spacing w:lineRule="auto" w:line="417" w:before="180" w:after="283"/>
        <w:ind w:left="0" w:right="0" w:hanging="360"/>
        <w:jc w:val="both"/>
        <w:rPr/>
      </w:pPr>
      <w:r>
        <w:rPr>
          <w:color w:val="000000"/>
        </w:rPr>
        <w:t>•</w:t>
      </w:r>
      <w:r>
        <w:rPr>
          <w:rFonts w:ascii="Times New Roman;serif" w:hAnsi="Times New Roman;serif"/>
          <w:b w:val="false"/>
          <w:color w:val="000000"/>
          <w:sz w:val="20"/>
        </w:rPr>
        <w:t>We generated net revenues of $152.5 million and $189.8 million, respectively.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Our gross margin was 41.0% and 42.7%, respectively.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We generated net losses of $77.3 million and $93.3 million, respectively.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We generated adjusted EBITDA losses of $59.4 million and $70.0 million,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financial measure that is not calculated in accordance with generally accepted accounting principles in the United States, or GAAP. See the section titled “Non-GAAP Financial Measures” below for the definition of adjusted EBITDA, as well as a reconciliation of adjusted financial measures to their most directly comparable 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maintained three key focus areas: product, marketing, and customer experience. The product focus area included the design and development of a variety of new product styles that were brought to market in the second half of 2025. The marketing focus area included investments in upper funnel brand marketing, and campaigns under the Allbirds by Nature banner, with messaging reinforcing four key attributes: comfort, style, quality, and sustainability. The customer experience focus area included a redesigned website that launched during the year and optimization of our retail store fleet. This included the closure of 10 Allbirds stores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2025, we entered into two financing agreements in order to optimize working capital and enhance financial flexibility. The first is a new asset-based revolving credit agreement, which replaced our prior revolving credit agreement. The second is a sales agreement, which may allow us to sell, from time to time, up to $50 million (subject to the “baby shelf” limitation in General Instruction I.B.6 of Form S-3) of shares of Class A common stock through an At-the-Market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these focus areas, our performance in the fourth quarter of 2025 did not meet our net revenue expectations. Subsequent to year end, in the first quarter of 2026, we closed our remaining full-price stores in the United States, which also resulted in a reduction in force.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board of directors formally engaged advisors to conduct a strategic alternatives process that began during the fourth quarter of 2025 and culminated in the Company entering into a definitive agreement during the first quarter of 2026 with an affiliate of American Exchange Group to sell substantially all of the assets of the Company (the “Asset Sale”). In addition, in the first quarter of 2026, the Company entered into the Consent and First Amendment to Credit Agreement in connection with the Asset Sale. See Note 16, </w:t>
      </w:r>
      <w:r>
        <w:rPr>
          <w:rFonts w:ascii="Times New Roman;serif" w:hAnsi="Times New Roman;serif"/>
          <w:b w:val="false"/>
          <w:i/>
          <w:color w:val="000000"/>
          <w:sz w:val="20"/>
        </w:rPr>
        <w:t>Subsequent Events</w:t>
      </w:r>
      <w:r>
        <w:rPr>
          <w:rFonts w:ascii="Times New Roman;serif" w:hAnsi="Times New Roman;serif"/>
          <w:b w:val="false"/>
          <w:color w:val="000000"/>
          <w:sz w:val="20"/>
        </w:rPr>
        <w:t>, of our consolidated financial statements included in Part II, Item 8, for more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financial and operating conditions have been, and will continue to be affected by a number of factors, including: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Recent financial performance, including a net loss of $77.3 million and net cash used in operating activities of $55.1 million in the year ended December 31, 2025, has raised substantial doubt about the Company’s ability to continue as a going concern. Refer to the section titled Liquidity and Capital Resources and Note 2 to the consolidated financial statements included in this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Ability to Grow Brand Awareness and Drive Efficient Customer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to communicate our mission of making better things in a better way is integral to our success in engaging new customers and introducing them to our products and brand. Our continued focus on elevating our product offerings combined with our differentiated brand approach and authenticity is critical to attracting new customers and increasing closet share. Further, we must continue to emphasize our commitment to people, the planet, and our stockholders in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further increase our reach and highlight the integrity of our brand. We believe our brand strength will enable us to continue to grow brand awareness, allowing us to deepen relationships with consumers and expand our access to global markets.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we continue to scale and build our global brand awareness, our goal is to acquire new customers in a cost-effective way. We will continue to evaluate our go-to-market strategy, both in the U.S. and internationally, and invest in customer acquisition while the underlying customer unit economics indicate the return on investment is strong. The continued execution of our customer acquisition strategy is key to acquiring more customers and driving growth and profitability for our business. Our ability to acquire more customers depends significantly on a number of factors, including the level and pattern of consumer spending in the product categories in which we operate and our ability to expand our brand awareness. We also partner with select third-party retailers and distributors to sell our products in our effort to reach more consumers and build brand awareness.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Growth Within Existing Customer Base and Increasing Closet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seeking to acquire new customers, we continuously seek ways to engage with our base of existing customers. We aim to grow our closet share within our existing customer base by focusing and developing on our core franchises and introducing new products we believe will resonate with our customers. While we continue to do this, we must constantly evaluate and improve our strategy to anticipate current and future consumer preferences and demands. At the same time, it is critical that we maintain our commitment to offering comfortable and sustainable products. Our growth within our existing customer base will depend in part on our success focusing our product strategy to appeal to our existing customers.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Execution of Our Vertical Retail Distribution and Omni-Channel Strategy and Optimization of Our Store Fleet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growth strategy relies on our ability to grow across multiple channels, while still maintaining our goal of long-term profitability. In 2025, we closed nine stores in the United States and 1 store in the United Kingdom. In the first quarter of 2026, we closed our remaining full-price United States stores, in order to build a simpler and more profitable business, and continue to operate two outlet stores in the United States and two stores in the United Kingdom. We believe an omni-channel buying experience is important to meeting the needs of our customer base, and are focused on dedicating resources toward our e-commerce platform, our third-party marketplace platform, wholesale partnerships with other retailers, and international distributorships.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store count by primary geographical market is presented in the table below, as of the dates presented:</w:t>
      </w:r>
    </w:p>
    <w:p>
      <w:pPr>
        <w:pStyle w:val="TextBody"/>
        <w:bidi w:val="0"/>
        <w:spacing w:before="0" w:after="0"/>
        <w:jc w:val="center"/>
        <w:rPr/>
      </w:pPr>
      <w:r>
        <w:rPr/>
      </w:r>
    </w:p>
    <w:tbl>
      <w:tblPr>
        <w:tblW w:w="10323" w:type="dxa"/>
        <w:jc w:val="center"/>
        <w:tblInd w:w="0" w:type="dxa"/>
        <w:tblLayout w:type="fixed"/>
        <w:tblCellMar>
          <w:top w:w="28" w:type="dxa"/>
          <w:left w:w="28" w:type="dxa"/>
          <w:bottom w:w="28" w:type="dxa"/>
          <w:right w:w="28" w:type="dxa"/>
        </w:tblCellMar>
      </w:tblPr>
      <w:tblGrid>
        <w:gridCol w:w="462"/>
        <w:gridCol w:w="405"/>
        <w:gridCol w:w="379"/>
        <w:gridCol w:w="275"/>
        <w:gridCol w:w="275"/>
        <w:gridCol w:w="276"/>
        <w:gridCol w:w="109"/>
        <w:gridCol w:w="109"/>
        <w:gridCol w:w="109"/>
        <w:gridCol w:w="195"/>
        <w:gridCol w:w="195"/>
        <w:gridCol w:w="196"/>
        <w:gridCol w:w="109"/>
        <w:gridCol w:w="109"/>
        <w:gridCol w:w="109"/>
        <w:gridCol w:w="211"/>
        <w:gridCol w:w="150"/>
        <w:gridCol w:w="151"/>
        <w:gridCol w:w="109"/>
        <w:gridCol w:w="109"/>
        <w:gridCol w:w="109"/>
        <w:gridCol w:w="290"/>
        <w:gridCol w:w="290"/>
        <w:gridCol w:w="291"/>
        <w:gridCol w:w="109"/>
        <w:gridCol w:w="109"/>
        <w:gridCol w:w="109"/>
        <w:gridCol w:w="275"/>
        <w:gridCol w:w="275"/>
        <w:gridCol w:w="276"/>
        <w:gridCol w:w="109"/>
        <w:gridCol w:w="109"/>
        <w:gridCol w:w="109"/>
        <w:gridCol w:w="195"/>
        <w:gridCol w:w="195"/>
        <w:gridCol w:w="196"/>
        <w:gridCol w:w="109"/>
        <w:gridCol w:w="109"/>
        <w:gridCol w:w="109"/>
        <w:gridCol w:w="211"/>
        <w:gridCol w:w="150"/>
        <w:gridCol w:w="151"/>
        <w:gridCol w:w="109"/>
        <w:gridCol w:w="109"/>
        <w:gridCol w:w="109"/>
        <w:gridCol w:w="290"/>
        <w:gridCol w:w="290"/>
        <w:gridCol w:w="291"/>
        <w:gridCol w:w="109"/>
        <w:gridCol w:w="109"/>
        <w:gridCol w:w="109"/>
        <w:gridCol w:w="255"/>
        <w:gridCol w:w="255"/>
        <w:gridCol w:w="361"/>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Store Count by Primary Geographical Market</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r>
              <w:rPr>
                <w:rFonts w:ascii="Times New Roman;serif" w:hAnsi="Times New Roman;serif"/>
                <w:b w:val="false"/>
                <w:color w:val="000000"/>
                <w:sz w:val="13"/>
              </w:rPr>
              <w:t>1</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stores</w:t>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Growing Our Product Innovation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Innovation has been core to the Allbirds brand since our inception in 2015. Our future innovation and product pipeline will depend, in part, on our ability to apply our expertise in materials science to source and commercialize materials that are sustainable, durable, and comfortable. Our success in leveraging these materials in our products is partially reliant on the ability of our manufacturing and supply chain partners to produce and distribute these materials at scale. It also takes months of testing before we commercialize new materials and products, which could cause delays in our existing growth plans. In addition, these initiatives may require ongoing investments that could delay our ability to achieve medium to long-term profitability.</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the first quarter of 2024, we closed the operations of three stores in the U.S. In the second quarter of 2024, we closed the operations of ten stores in the U.S. In the third quarter of 2024, we closed the operations of one store in the U.S. In the fourth quarter of 2024, we closed the operations of one store in the U.S. In the first quarter of 2025, we closed the operations of five stores in the U.S. In the second quarter of 2025, we closed the operations of four stores in the U.S.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 the third quarter of 2023, we transitioned the operations of three international stores to distributors. In the second quarter of 2024, we transitioned the operations of two stores in Japan and one store in New Zealand to unrelated third-party distributors and closed one store in Europe. In the third quarter of 2024, we transitioned the operations of six stores in China to an unrelated third-party distributor and closed two stores in Europe. In the third quarter of 2025, we closed the operations of one store in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Ability to Scale Infrastructure for Profitable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grow our business, we intend to continue to improve our operational and capital efficiencies and thoughtfully optimize our infrastructure. Our ability to scale relies upon our supply chain infrastructure. We believe our investments in direct and meaningful relationships with all of our partners, from raw materials suppliers to Tier 1 manufacturers and logistics providers, helps put us on a path of achieving profitable growth in the future. We will continue to make similar investments in developing relationships across the full supply chain. Most importantly, we are firmly committed to reducing our carbon footprint and our environmental impact. This commitment may require current and future investments, which may result in higher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Current Macroeconomic Conditions and Trends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Consumers are increasingly becoming more conscious of the products they purchase and are seeking brands that are responsible and purpose-driven. Consumers’ increasing care in the products and brands they trust has contributed to continued demand for our products. Our status as a PBC and a B Corp highlight our commitment to sustainability and our purpose while providing an objective reference point for consumers. As a purpose-native company, we believe we are well-positioned at the intersection of key macro trends impacting our industry.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However, we continue to monitor and respond to evolving developments regarding recent macroeconomic events including elevated inflation, tariffs, rising interest rates, liquidity concerns at, and failures of, banks and other financial institutions, supply chain disruptions, fluctuations in currency exchange rates, and geopolitical conflicts, which have led to further economic uncertainty in the global economy. These macroeconomic conditions have had and are likely to continue to have adverse consequences on consumer spending, including the buying patterns of our customers and prospective customers. See the section titled “Risk Factors—Risks Related to Our Business, Brand, Products, and Industry” in Part I, Item 1A. Risk Factors, for further details.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affected by general seasonal trends common to the retail footwear and apparel industry, with sales typically lower in the first quarter of the year and typically higher during the end-of-year holiday period that falls within our fourth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net revenue primarily from sales of our footwear and apparel products. We sell products directly through our own digital channels (including our websites, our discontinued mobile app, and marketplace platforms), our leased retail stores, and third-party retailers and distributors. As of December 31, 2025, the majority of our sales are through our direct channels. Revenue is recognized when we satisfy our performance obligation by transferring control of the promised goods to the customer, net of allowances for returns, discounts, and any taxes collected from customers. This occurs either upon shipment or upon receipt, depending on the terms of sale.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the cost of purchased inventory, inbound and outbound shipping costs, import duties, distribution center and related equipment costs, and inventory write-downs or write-offs. Shipping costs to receive products from our suppliers are included in the cost of inventory and recognized as cost of revenue upon the sale of products to our customers. We generally expect our cost of revenue to decrease or increase in absolute dollars in line with net revenue fluctuations.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net revenue less the cost of revenue. Gross margin is gross profit expressed as a percentage of net revenue. Our gross margin may fluctuate from period to period based on a number of factors, including business outcomes, the mix of products we sell in different geographies and channels, price increases, promotional activities, the innovation initiatives we undertake in each product category, cost drivers (including commodity prices, transportation rates, manufacturing costs), and inventory write-downs or write-offs, among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(“SG&amp;A expense”) consists of personnel and related costs including salaries, benefits, bonuses, and stock-based compensation for our corporate and retail employees, third-party professional fees, information technology, payment processing fees, fixed and variable lease costs for corporate offices and retail stores, depreciation and amortization, software costs, legal fees, and other administrative costs associated with operating the business.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Marketing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Marketing expense consists of advertising costs incurred to acquire new customers, retain existing customers, and build our brand awareness.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expense consists of non-cash impairment charges relating to long-lived assets (including property and equipment and operating lease right-of-use assets) and equity 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expense consists of severance and other employee-related benefits, professional service fees, and other miscellaneous costs associated with exit and disposal activities.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from Sales of Businesses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from sales of businesses consists of gains or losses associated with the sale of certain net assets used in connection with the operation of our businesses in certain geographical markets, based on the difference between the net book value of assets and liabilities sold against the consideration received.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associated with our credit agreement with Second Avenue Capital Partners, which we refer to as our Credit Agreement. Interest income primarily consists of interest income generated from our cash and cash equivalents. We expect interest income and expense to fluctuate based on our future bank balances, credit line utilization, and the interest rate environment.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consists of gains or losses on lease terminations and modifications, gains or losses on foreign currency, gains or losses on sales of property and equipment, and changes in the fair value of our equity investments.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consists of U.S. federal and state income taxes and income taxes in certain foreign jurisdictions in which we conduct business. We record deferred tax assets and liabilities based on differences between the book and tax bases of assets and liabilities. The deferred tax assets and liabilities are calculated by applying enacted tax rates and laws to taxable years in which such differences are expected to reverse. Because we have a recent history of pre-tax book losses and are expected to be in a pre-tax book loss position in the near term, a valuation allowance was maintained against the deferred tax assets in the United States, China, Hong Kong, Canada, Germany and New Zealand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dollars and as a percentage of net revenue:</w:t>
      </w:r>
    </w:p>
    <w:tbl>
      <w:tblPr>
        <w:tblW w:w="6699" w:type="dxa"/>
        <w:jc w:val="left"/>
        <w:tblInd w:w="0" w:type="dxa"/>
        <w:tblLayout w:type="fixed"/>
        <w:tblCellMar>
          <w:top w:w="28" w:type="dxa"/>
          <w:left w:w="28" w:type="dxa"/>
          <w:bottom w:w="28" w:type="dxa"/>
          <w:right w:w="28" w:type="dxa"/>
        </w:tblCellMar>
      </w:tblPr>
      <w:tblGrid>
        <w:gridCol w:w="1462"/>
        <w:gridCol w:w="1285"/>
        <w:gridCol w:w="1288"/>
        <w:gridCol w:w="211"/>
        <w:gridCol w:w="826"/>
        <w:gridCol w:w="109"/>
        <w:gridCol w:w="109"/>
        <w:gridCol w:w="109"/>
        <w:gridCol w:w="109"/>
        <w:gridCol w:w="211"/>
        <w:gridCol w:w="82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sales of businesses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gain (loss)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of $7.8 million and $11.5 million for the years ended December 31, 2025 and 2024, respectively.</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(2)Includes depreciation and amortization expense of $8.0 million and $12.4 million for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tbl>
      <w:tblPr>
        <w:tblW w:w="9225" w:type="dxa"/>
        <w:jc w:val="left"/>
        <w:tblInd w:w="0" w:type="dxa"/>
        <w:tblLayout w:type="fixed"/>
        <w:tblCellMar>
          <w:top w:w="28" w:type="dxa"/>
          <w:left w:w="28" w:type="dxa"/>
          <w:bottom w:w="28" w:type="dxa"/>
          <w:right w:w="28" w:type="dxa"/>
        </w:tblCellMar>
      </w:tblPr>
      <w:tblGrid>
        <w:gridCol w:w="2397"/>
        <w:gridCol w:w="2106"/>
        <w:gridCol w:w="2112"/>
        <w:gridCol w:w="308"/>
        <w:gridCol w:w="308"/>
        <w:gridCol w:w="409"/>
        <w:gridCol w:w="164"/>
        <w:gridCol w:w="164"/>
        <w:gridCol w:w="164"/>
        <w:gridCol w:w="308"/>
        <w:gridCol w:w="308"/>
        <w:gridCol w:w="477"/>
      </w:tblGrid>
      <w:tr>
        <w:trPr/>
        <w:tc>
          <w:tcPr>
            <w:tcW w:w="2397"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 as a Percentage of Net Revenue:</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sales of businesses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Comparison of the Years Ended December 31, 2025 and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tbl>
      <w:tblPr>
        <w:tblW w:w="6614" w:type="dxa"/>
        <w:jc w:val="left"/>
        <w:tblInd w:w="0" w:type="dxa"/>
        <w:tblLayout w:type="fixed"/>
        <w:tblCellMar>
          <w:top w:w="28" w:type="dxa"/>
          <w:left w:w="28" w:type="dxa"/>
          <w:bottom w:w="28" w:type="dxa"/>
          <w:right w:w="28" w:type="dxa"/>
        </w:tblCellMar>
      </w:tblPr>
      <w:tblGrid>
        <w:gridCol w:w="396"/>
        <w:gridCol w:w="349"/>
        <w:gridCol w:w="35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revenue decreased by $37.3 million, or 19.7%, for the year ended December 31, 2025 as compared to the year ended December 31, 2024. The decrease was primarily driven by a decrease in our U.S. direct business of $23.1 million, driven by declines in our retail and e-commerce businesses resulting from store closures. Net revenue also declined in our international business by $11.9 million, primarily due to our transition to third-party distributors.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tbl>
      <w:tblPr>
        <w:tblW w:w="7132" w:type="dxa"/>
        <w:jc w:val="left"/>
        <w:tblInd w:w="0" w:type="dxa"/>
        <w:tblLayout w:type="fixed"/>
        <w:tblCellMar>
          <w:top w:w="28" w:type="dxa"/>
          <w:left w:w="28" w:type="dxa"/>
          <w:bottom w:w="28" w:type="dxa"/>
          <w:right w:w="28" w:type="dxa"/>
        </w:tblCellMar>
      </w:tblPr>
      <w:tblGrid>
        <w:gridCol w:w="504"/>
        <w:gridCol w:w="444"/>
        <w:gridCol w:w="446"/>
        <w:gridCol w:w="211"/>
        <w:gridCol w:w="721"/>
        <w:gridCol w:w="271"/>
        <w:gridCol w:w="109"/>
        <w:gridCol w:w="109"/>
        <w:gridCol w:w="109"/>
        <w:gridCol w:w="211"/>
        <w:gridCol w:w="826"/>
        <w:gridCol w:w="271"/>
        <w:gridCol w:w="109"/>
        <w:gridCol w:w="109"/>
        <w:gridCol w:w="109"/>
        <w:gridCol w:w="211"/>
        <w:gridCol w:w="796"/>
        <w:gridCol w:w="109"/>
        <w:gridCol w:w="109"/>
        <w:gridCol w:w="109"/>
        <w:gridCol w:w="109"/>
        <w:gridCol w:w="293"/>
        <w:gridCol w:w="293"/>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$18.8 million, or 17.3%, for the year ended December 31, 2025 as compared to the year ended December 31, 2024. The decrease was primarily driven by decreases in product costs of approximately $12.5 million, freight costs of approximately $2.7 million, and distribution center expenses of $2.5 million, which were all driven by fewer unit sales in our U.S. direct business, the shift to international distributors, and U.S. retail store closures. The decreases were partially offset by approximately $1.0 million of increased duties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decreased by $18.5 million, or 22.8%, in the year ended December 31, 2025 as compared to the year ended December 31, 2024. The decrease in gross profit was primarily driven by the decreases in net revenue and cost of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Gross margin declined to 41.0% from 42.7% for the year ended December 31, 2025 as compared to the year ended December 31, 2024, primarily due to a higher mix of digital and international distributor sales, as well as increased duties and lower average selling prices in our U.S.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9254" w:type="dxa"/>
        <w:jc w:val="left"/>
        <w:tblInd w:w="0" w:type="dxa"/>
        <w:tblLayout w:type="fixed"/>
        <w:tblCellMar>
          <w:top w:w="28" w:type="dxa"/>
          <w:left w:w="28" w:type="dxa"/>
          <w:bottom w:w="28" w:type="dxa"/>
          <w:right w:w="28" w:type="dxa"/>
        </w:tblCellMar>
      </w:tblPr>
      <w:tblGrid>
        <w:gridCol w:w="1341"/>
        <w:gridCol w:w="1179"/>
        <w:gridCol w:w="118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08"/>
        <w:gridCol w:w="308"/>
        <w:gridCol w:w="54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by $40.9 million, or 30.7%, for the year ended December 31, 2025 as compared to the year ended December 31, 2024. The decrease was primarily driven by a $18.3 million decrease in personnel and related expenses, a $10.0 million decrease in rent and utilities, a $4.4 million decrease in depreciation and amortization, and a $3.7 million decrease in stock-based compensation, as well as reductions in other types of 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Marketing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Marketing expense increased by $3.6 million, or 8.6%, for the year ended December 31, 2025 as compared to the year ended December 31, 2024. The increase was primarily driven by an investment in upper funnel marketing initiatives in the first quarter of the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Impairment expense increased by $2.4 million for the year ended December 31, 2025 as compared to the year ended December 31, 2024, primarily as a result of a non-cash impairment of property and equipment and operating lease right-of-use assets associated with certain of our retail stores of $3.5 million, partially offset by the prior year impairment of an equity investment of $1.8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Restructuring expense decreased by $1.2 million for the year ended December 31, 2025 as compared to the year ended December 31, 2024, primarily resulting from fewer costs incurred in 2025 as part of our strategic initiatives. In 2025, restructuring expenses related to severance and other employee-related benefits were incurred as a result of strategic actions taken in the fourth quarter. In the prior year, restructuring expenses related to severance and other employee-related benefits, and professional service fees.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Income</w:t>
      </w:r>
    </w:p>
    <w:tbl>
      <w:tblPr>
        <w:tblW w:w="7460" w:type="dxa"/>
        <w:jc w:val="left"/>
        <w:tblInd w:w="0" w:type="dxa"/>
        <w:tblLayout w:type="fixed"/>
        <w:tblCellMar>
          <w:top w:w="28" w:type="dxa"/>
          <w:left w:w="28" w:type="dxa"/>
          <w:bottom w:w="28" w:type="dxa"/>
          <w:right w:w="28" w:type="dxa"/>
        </w:tblCellMar>
      </w:tblPr>
      <w:tblGrid>
        <w:gridCol w:w="792"/>
        <w:gridCol w:w="697"/>
        <w:gridCol w:w="700"/>
        <w:gridCol w:w="252"/>
        <w:gridCol w:w="828"/>
        <w:gridCol w:w="130"/>
        <w:gridCol w:w="130"/>
        <w:gridCol w:w="130"/>
        <w:gridCol w:w="130"/>
        <w:gridCol w:w="308"/>
        <w:gridCol w:w="308"/>
        <w:gridCol w:w="156"/>
        <w:gridCol w:w="109"/>
        <w:gridCol w:w="109"/>
        <w:gridCol w:w="109"/>
        <w:gridCol w:w="211"/>
        <w:gridCol w:w="691"/>
        <w:gridCol w:w="109"/>
        <w:gridCol w:w="109"/>
        <w:gridCol w:w="109"/>
        <w:gridCol w:w="109"/>
        <w:gridCol w:w="344"/>
        <w:gridCol w:w="346"/>
        <w:gridCol w:w="54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income changed by $4.6 million, from income to expense, for the year ended December 31, 2025 as compared to the year ended December 31, 2024. The change was primarily driven by a decrease in interest income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approximately $3.5 million on our money market funds and an increase in interest expense relating to our Credit Agreement.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w:t>
      </w:r>
    </w:p>
    <w:tbl>
      <w:tblPr>
        <w:tblW w:w="6059" w:type="dxa"/>
        <w:jc w:val="left"/>
        <w:tblInd w:w="0" w:type="dxa"/>
        <w:tblLayout w:type="fixed"/>
        <w:tblCellMar>
          <w:top w:w="28" w:type="dxa"/>
          <w:left w:w="28" w:type="dxa"/>
          <w:bottom w:w="28" w:type="dxa"/>
          <w:right w:w="28" w:type="dxa"/>
        </w:tblCellMar>
      </w:tblPr>
      <w:tblGrid>
        <w:gridCol w:w="440"/>
        <w:gridCol w:w="386"/>
        <w:gridCol w:w="38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54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increased by $1.1 million, for the year ended December 31, 2025 as compared to expense in the year ended December 31, 2024. The increase was primarily due to greater gains on the termination and modification of certain operating leases of approximately $0.4 million and fluctuations in foreign currency of approximately $0.3 million in the current period.</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Provision</w:t>
      </w:r>
    </w:p>
    <w:tbl>
      <w:tblPr>
        <w:tblW w:w="6764" w:type="dxa"/>
        <w:jc w:val="left"/>
        <w:tblInd w:w="0" w:type="dxa"/>
        <w:tblLayout w:type="fixed"/>
        <w:tblCellMar>
          <w:top w:w="28" w:type="dxa"/>
          <w:left w:w="28" w:type="dxa"/>
          <w:bottom w:w="28" w:type="dxa"/>
          <w:right w:w="28" w:type="dxa"/>
        </w:tblCellMar>
      </w:tblPr>
      <w:tblGrid>
        <w:gridCol w:w="667"/>
        <w:gridCol w:w="588"/>
        <w:gridCol w:w="590"/>
        <w:gridCol w:w="211"/>
        <w:gridCol w:w="541"/>
        <w:gridCol w:w="109"/>
        <w:gridCol w:w="109"/>
        <w:gridCol w:w="109"/>
        <w:gridCol w:w="109"/>
        <w:gridCol w:w="211"/>
        <w:gridCol w:w="691"/>
        <w:gridCol w:w="109"/>
        <w:gridCol w:w="109"/>
        <w:gridCol w:w="109"/>
        <w:gridCol w:w="109"/>
        <w:gridCol w:w="211"/>
        <w:gridCol w:w="616"/>
        <w:gridCol w:w="109"/>
        <w:gridCol w:w="109"/>
        <w:gridCol w:w="109"/>
        <w:gridCol w:w="109"/>
        <w:gridCol w:w="293"/>
        <w:gridCol w:w="293"/>
        <w:gridCol w:w="54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Income tax provision decreased by $1.5 million, or 79.0%, for the year ended December 31, 2025 compared to the year ended December 31, 2024, primarily due to the mix of taxable income in foreign jurisdictions that resulted in differences in the effective tax rates and a change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and accompanying financial tables include references to adjusted EBITDA and adjusted EBITDA margin, which are non-GAAP financial measures. We believe that these non-GAAP financial measures, when reviewed in conjunction with GAAP financial measures, and not in isolation or as substitutes for analysis of our results of operations under GAAP, are useful to investors as they are widely used measures of performance, and the adjustments we make to these non-GAAP financial measures provide investors further insight into our profitability and additional perspectives in comparing our performance to other companies and in comparing our performance over time on a consistent basis. These non-GAAP financial measures should not be considered as alternatives to net loss or net loss margin as calculated and presented in accordance with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loss before stock-based compensation expense, depreciation and amortization expense, impairment expense, restructuring expense (consisting of professional fees, personnel and related expenses, and other related charges resulting from our strategic initiatives), non-cash gains or losses on the sales of businesses relating to our strategic initiatives, other income or expense (consisting of non-cash changes in the fair value of our equity investments, non-cash gains or losses on foreign currency, non-cash gains or losses on sales of property and equipment, and non-cash gains or losses on modifications or terminations of leases), interest income or expense, and income tax provision or benefit.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margin is defined as adjusted EBITDA divided by net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are a number of limitations related to the use of these non-GAAP financial measures. Some of these limitations are: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stock-based compensation expense, and therefore do not include all of our compensation costs;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depreciation and amortization expense and, although these are a non-cash expense, the assets being depreciated may have to be replaced in the future, increasing our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impairment expense for long-lived assets and, although these are a non-cash expense, the assets being impaired may never recover their fair value, increasing our cash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severance, reorganization, exit, disposal and other costs associated with restructuring plans, which reduce cash available to us;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gains or losses from sales of businesses that may reduce cash available to us if the actual cash received is lower than the cash paid;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other income or expense that may reduce cash available to us if the actual cash received is lower than the cash paid;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interest income or expense, or the cash required to service interest on our debt, which reduces cash available to us;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adjusted EBITDA and adjusted EBITDA margin do not reflect income tax expense, or tax payments that may reduce cash available to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other companies, including companies in our industry, may calculate these non-GAAP financial measures differently, which reduces their usefulness as comparative measures. Because of these limitations, we consider, and investors should consider, these non-GAAP financial measures together with other operating and financial performance measures presented in accordance with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its most comparable GAAP measure, net loss:</w:t>
      </w:r>
    </w:p>
    <w:tbl>
      <w:tblPr>
        <w:tblW w:w="5903" w:type="dxa"/>
        <w:jc w:val="left"/>
        <w:tblInd w:w="0" w:type="dxa"/>
        <w:tblLayout w:type="fixed"/>
        <w:tblCellMar>
          <w:top w:w="28" w:type="dxa"/>
          <w:left w:w="28" w:type="dxa"/>
          <w:bottom w:w="28" w:type="dxa"/>
          <w:right w:w="28" w:type="dxa"/>
        </w:tblCellMar>
      </w:tblPr>
      <w:tblGrid>
        <w:gridCol w:w="1196"/>
        <w:gridCol w:w="1045"/>
        <w:gridCol w:w="1058"/>
        <w:gridCol w:w="211"/>
        <w:gridCol w:w="796"/>
        <w:gridCol w:w="109"/>
        <w:gridCol w:w="109"/>
        <w:gridCol w:w="109"/>
        <w:gridCol w:w="109"/>
        <w:gridCol w:w="211"/>
        <w:gridCol w:w="79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br/>
              <w:t>(unaudited)</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(deduct):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sales of businesses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improved by $10.6 million in the year ended December 31, 2025 as compared to the year ended December 31, 2024. The improvement in adjusted EBITDA was primarily due to lower operating expenses, partially offset by lower gross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loss and adjusted EBITDA as percentages of net revenue: </w:t>
      </w:r>
    </w:p>
    <w:tbl>
      <w:tblPr>
        <w:tblW w:w="5207" w:type="dxa"/>
        <w:jc w:val="left"/>
        <w:tblInd w:w="0" w:type="dxa"/>
        <w:tblLayout w:type="fixed"/>
        <w:tblCellMar>
          <w:top w:w="28" w:type="dxa"/>
          <w:left w:w="28" w:type="dxa"/>
          <w:bottom w:w="28" w:type="dxa"/>
          <w:right w:w="28" w:type="dxa"/>
        </w:tblCellMar>
      </w:tblPr>
      <w:tblGrid>
        <w:gridCol w:w="802"/>
        <w:gridCol w:w="708"/>
        <w:gridCol w:w="709"/>
        <w:gridCol w:w="211"/>
        <w:gridCol w:w="826"/>
        <w:gridCol w:w="271"/>
        <w:gridCol w:w="109"/>
        <w:gridCol w:w="109"/>
        <w:gridCol w:w="109"/>
        <w:gridCol w:w="211"/>
        <w:gridCol w:w="826"/>
        <w:gridCol w:w="316"/>
      </w:tblGrid>
      <w:tr>
        <w:trPr/>
        <w:tc>
          <w:tcPr>
            <w:tcW w:w="8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br/>
              <w:t>(unaudited)</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margin declined from (36.9)% to (39.0)% in the year ended December 31, 2025 compared to the year ended December 31, 2024. The change was primarily driven by the decline in revenue year over year, partially offset by the same factors as noted in the adjusted EBITDA discussion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$26.7 million. Following our IPO in 2021, we have funded our operations primarily from the sale of our products and recently through borrowings under our Credit Agreement. Management’s evaluation of the Company’s ability to continue as a going concern for the twelve-month period following the date on which the financial statements are available for issuance indicated certain negative conditions and events that raise substantial doubt about the Company’s ability to continue as a going concern, including a net loss of $77.3 million and net cash used in operating activities was $55.1 million in the year ended December 31, 2025. As of December 31, 2025, the Company had $26.7 million in cash and cash equivalents and $17.4 million outstanding on its Credit Agreement. The Company expects to continue to incur net losses and negative cash flows from operating activities, and the Company does not expect to continue its operations following the completion of the Asset Sale (as defined in Note 16 to our consolidated financial statements included in this Annual Report on Form 10-K). If the Asset Sale is not completed for any reason, we do not anticipate we would be able to meet our future liquidity needs without accessing additional capital or engaging in strategic transactions which are not within our control and are subject to various risks and uncertainties. See Note 2 to our consolidated financial statements included in this Annual Report on Form 10-K for additional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material cash requirements are primarily for working capital, and may vary materially from those currently planned and will depend on many factors, including cash on hand and cash flows from operations, borrowings under our Credit Agreement, waivers or modifications concerning our existing debt obligations and the Asset Sale. We anticipate that following the closing of the Asset Sale, we will not have any remaining operations and will wind up our assets, liabilities and affairs under a plan of dissolution, after which proceeds will be distributed to common stockholders.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material capital resources include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February 20, 2019, we entered into a credit agreement with JPMorgan Chase Bank, N.A. (the “Prior Credit Agreement”), providing for a revolving line of credit of up to $40.0 million, subject to a borrowing base formula, and an optional accordion, which, if exercised, would have allowed us to increase the aggregate commitment by up to $35.0 million, subject to obtaining additional lender commitments and satisfying certain conditions. The Prior Credit Agreement was amended on April 17, 2023 to, among other things, (i) increase the committed amount from $40.0 million to $50.0 million, subject to a borrowing base formula, (ii) increase the uncommitted incremental borrowing capacity from $35.0 million to $50.0 million, (iii) increase the interest rate margin by 0.50%, (iv) extend the maturity date from February 20, 2024 to April 17, 2026 and (v) provide that a Dominion Event Date (as defined therein) would occur on any date on which Availability (as defined therein) was less than 25.0% of the Aggregate Revolving Commitments (as defined therein). In connection with entry into the Credit Agreement, we repaid and fully discharged our obligations under the Prior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we entered into a secured $50.0 million revolving credit agreement with Second Avenue Capital Partners LLC (the “Credit Agreement”). The borrowing capacity is subject to a borrowing base formula relating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value of our eligible assets, and under the revolving credit facility may be increased up to an additional $25.0 million, subject to obtaining additional lender commitments and satisfying certain conditions.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borrowings under the revolving credit facility accrues at a variable rate equal to (i) the sum of the Term Secured Overnight Financing Rate (“SOFR”), plus (ii) 0.15%, plus (ii) a margin of 5.75% per annum. The commitment fee under the Credit Agreement is 0.45% per annum on the average daily unused portion of each lender’s commitment.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and affirmative covenants and negative covenants applicable to the Company and certain of its subsidiaries, including, among other things, restrictions on indebtedness, liens, investments, mergers, dispositions of assets, dividends and other distributions, minimum unrestricted cash, and minimum consolidated EBITDA. In addition, the Credit Agreement contains certain customary events of default including, but not limited to, failure to pay interest, principal and fees or other amounts when due, material misrepresentations or misstatements in any representation or warranty, covenant defaults, certain cross defaults to other material indebtedness, certain judgment defaults and events of bankruptcy or insolvency.</w:t>
      </w:r>
    </w:p>
    <w:p>
      <w:pPr>
        <w:pStyle w:val="TextBody"/>
        <w:bidi w:val="0"/>
        <w:spacing w:lineRule="auto" w:line="288" w:before="200" w:after="283"/>
        <w:jc w:val="left"/>
        <w:rPr/>
      </w:pPr>
      <w:r>
        <w:rPr>
          <w:rFonts w:ascii="Times New Roman;serif" w:hAnsi="Times New Roman;serif"/>
          <w:b w:val="false"/>
          <w:color w:val="000000"/>
          <w:sz w:val="20"/>
        </w:rPr>
        <w:t xml:space="preserve">The Credit Agreement has a maturity date of June 30, 2028. As of December 31, 2025, there was $17.3 million outstanding under the Credit Agreement. As of December 31, 2024, there were no borrowings outstanding under the Prior Credit Agreement. See Note 6,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of our consolidated financial statements included in Part II, Item 8, for more information regarding the Credit Agreement.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Note 16, </w:t>
      </w:r>
      <w:r>
        <w:rPr>
          <w:rFonts w:ascii="Times New Roman;serif" w:hAnsi="Times New Roman;serif"/>
          <w:b w:val="false"/>
          <w:i/>
          <w:color w:val="000000"/>
          <w:sz w:val="20"/>
        </w:rPr>
        <w:t>Subsequent Events</w:t>
      </w:r>
      <w:r>
        <w:rPr>
          <w:rFonts w:ascii="Times New Roman;serif" w:hAnsi="Times New Roman;serif"/>
          <w:b w:val="false"/>
          <w:color w:val="000000"/>
          <w:sz w:val="20"/>
        </w:rPr>
        <w:t>, of our consolidated financial statements included in Part II, Item 8, for information on the Consent and First Amendment to Credit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June 2025, we entered into an “at-the-market offering” (“ATM”) program with TD Securities (USA) LLC (“TD Cowen”), pursuant to which we may offer and sell, from time to time, through TD Cowen or its affiliates, acting as sales agents, shares of our common stock having an aggregate offering price of up to $50 million (subject to the “baby shelf” limitation in General Instruction I.B. 6 of Form S-3). Under the ATM, the sales agents may sell shares by any method deemed to be an “at-the-market offering.” During the year ended December 31, 2025, we sold 386,289</w:t>
      </w:r>
      <w:r>
        <w:rPr>
          <w:color w:val="000000"/>
        </w:rPr>
        <w:t xml:space="preserve"> </w:t>
      </w:r>
      <w:r>
        <w:rPr>
          <w:rFonts w:ascii="Times New Roman;serif" w:hAnsi="Times New Roman;serif"/>
          <w:b w:val="false"/>
          <w:color w:val="000000"/>
          <w:sz w:val="20"/>
        </w:rPr>
        <w:t>shares of Class A common stock under the ATM program for net proceeds of $1.7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material cash requirements include the following contractual and other obligations: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Inventory Purchase Obligations</w:t>
      </w:r>
    </w:p>
    <w:p>
      <w:pPr>
        <w:pStyle w:val="TextBody"/>
        <w:bidi w:val="0"/>
        <w:spacing w:lineRule="auto" w:line="288" w:before="200" w:after="283"/>
        <w:jc w:val="both"/>
        <w:rPr/>
      </w:pPr>
      <w:r>
        <w:rPr>
          <w:rFonts w:ascii="Times New Roman;serif" w:hAnsi="Times New Roman;serif"/>
          <w:b w:val="false"/>
          <w:color w:val="000000"/>
          <w:sz w:val="20"/>
        </w:rPr>
        <w:t xml:space="preserve">Inventory purchase obligations relate to a supplier agreement that requires us, through our manufacturers, to purchase a minimum quantity of materials per year. As of December 31, 2025, we had inventory purchase obligations of $1.8 million, with $0.9 million payable within 12 months. See Note 12,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our consolidated financial statements included in Part II, Item 8, for more information regarding our inventory purchase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00" w:after="283"/>
        <w:jc w:val="both"/>
        <w:rPr/>
      </w:pPr>
      <w:r>
        <w:rPr>
          <w:rFonts w:ascii="Times New Roman;serif" w:hAnsi="Times New Roman;serif"/>
          <w:b w:val="false"/>
          <w:color w:val="000000"/>
          <w:sz w:val="20"/>
        </w:rPr>
        <w:t xml:space="preserve">We lease various office and retail spaces for our operations with lease terms ranging from 1 year to 12 years, certain of which contain renewal provisions. As of December 31, 2025, we had undiscounted operating lease commitments of $24.6 million, with $7.2 million payable within 12 months. See Note 13, </w:t>
      </w:r>
      <w:r>
        <w:rPr>
          <w:rFonts w:ascii="Times New Roman;serif" w:hAnsi="Times New Roman;serif"/>
          <w:b w:val="false"/>
          <w:i/>
          <w:color w:val="000000"/>
          <w:sz w:val="20"/>
        </w:rPr>
        <w:t>Leases</w:t>
      </w:r>
      <w:r>
        <w:rPr>
          <w:rFonts w:ascii="Times New Roman;serif" w:hAnsi="Times New Roman;serif"/>
          <w:b w:val="false"/>
          <w:color w:val="000000"/>
          <w:sz w:val="20"/>
        </w:rPr>
        <w:t>, of our consolidated financial statements included in Part II, Item 8, for more information regarding our operating lease commitments. Subsequent to year end, in the first quarter of 2026, we closed our remaining full-price stores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tbl>
      <w:tblPr>
        <w:tblW w:w="9609" w:type="dxa"/>
        <w:jc w:val="left"/>
        <w:tblInd w:w="0" w:type="dxa"/>
        <w:tblLayout w:type="fixed"/>
        <w:tblCellMar>
          <w:top w:w="28" w:type="dxa"/>
          <w:left w:w="28" w:type="dxa"/>
          <w:bottom w:w="28" w:type="dxa"/>
          <w:right w:w="28" w:type="dxa"/>
        </w:tblCellMar>
      </w:tblPr>
      <w:tblGrid>
        <w:gridCol w:w="2534"/>
        <w:gridCol w:w="2232"/>
        <w:gridCol w:w="2239"/>
        <w:gridCol w:w="211"/>
        <w:gridCol w:w="796"/>
        <w:gridCol w:w="109"/>
        <w:gridCol w:w="109"/>
        <w:gridCol w:w="109"/>
        <w:gridCol w:w="109"/>
        <w:gridCol w:w="211"/>
        <w:gridCol w:w="796"/>
        <w:gridCol w:w="154"/>
      </w:tblGrid>
      <w:tr>
        <w:trPr/>
        <w:tc>
          <w:tcPr>
            <w:tcW w:w="253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sources of operating cash are cash payments received from customers for sales of our products. Our primary uses of cash from operating activities are for personnel and related expenses, selling and marketing expenses, and third-party professional fees. We have generated negative operating cash flows and have supplemented working capital through net proceeds from the sale of equity securities, including proceeds from our IPO in November 2021 and sales under the ATM program, and borrowings under our Credit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mainly consists of our net loss adjusted for certain non-cash items, including depreciation and amortization of property and equipment, stock-based compensation, impairment expense, inventory write-offs and write-downs, and changes in operating assets and liabilities during each year.</w:t>
      </w:r>
    </w:p>
    <w:p>
      <w:pPr>
        <w:pStyle w:val="TextBody"/>
        <w:bidi w:val="0"/>
        <w:spacing w:lineRule="auto" w:line="288" w:before="200" w:after="283"/>
        <w:jc w:val="both"/>
        <w:rPr/>
      </w:pPr>
      <w:r>
        <w:rPr>
          <w:rFonts w:ascii="Times New Roman;serif" w:hAnsi="Times New Roman;serif"/>
          <w:b w:val="false"/>
          <w:color w:val="000000"/>
          <w:sz w:val="20"/>
        </w:rPr>
        <w:t>During 2025, net cash used in operating activities was $55.1 million, which consisted of a net loss of $77.3 million and a net decrease of $0.5 million in our operating assets and liabilities, partially offset by net non-cash items of $21.7 million added back to net loss. The change in operating assets and liabilities was primarily due to a decrease of $8.3 million for operating lease right of use assets and short-term and long-term lease liabilities as a result of retail store closures, partially offset by a decrease of $3.0 million in inventory as a result of lower on-hand inventory, a decrease of $4.1 million in prepaid expenses and other current assets due to a decrease in tax and other receivables, and an increase of $2.6 million</w:t>
      </w:r>
      <w:r>
        <w:rPr>
          <w:color w:val="000000"/>
        </w:rPr>
        <w:t xml:space="preserve"> </w:t>
      </w:r>
      <w:r>
        <w:rPr>
          <w:rFonts w:ascii="Times New Roman;serif" w:hAnsi="Times New Roman;serif"/>
          <w:b w:val="false"/>
          <w:color w:val="000000"/>
          <w:sz w:val="20"/>
        </w:rPr>
        <w:t>in accounts payable due to timing of payments made.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2024, net cash used in operating activities was $63.9 million, which consisted of a net loss of $93.3 million and a net decrease of $0.3 million in our operating assets and liabilities, partially offset by non-cash charges of $29.7 million added back to net loss. The change in operating assets and liabilities was primarily due to a decrease of $11.3 million for operating lease right of use assets and short-term and long-term lease liabilities as a result of retail store closures, partially offset by a decrease of $6.9 million in inventory as a result of lower on-hand inventory, a decrease of $2.0 million in accounts receivable due to timing of payments received, a decrease of $1.6 million in prepaid expenses and other current assets due to a decrease in tax and other receivables, and an increase of $1.0 million in accounts payable due to timing of payments made.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primarily relates to capital expenditures to support our growth and investment in property and equipment for expansion of our business, partially offset by proceeds from sale of businesses.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net cash used in investing activities was $1.9 million, which consisted primarily $3.1 million of cash outflows for the purchases of property and equipment, including capitalized software, to support the ongoing operations of our business, partially offset by a decrease of $0.9 million in security deposits related to our closed retail stores and $0.4 million of proceeds from the sales of certain of our international businesses.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2024, net cash provided by investing activities was $2.1 million, which consisted primarily of $4.0 million of proceeds from the sales of certain of our international businesses and a decrease of $2.2 million in security deposits related to our closed retail stores, partially offset by $4.1 million cash outflows for the purchases of property and equipment to support the ongoing operations of our corporate development and retail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2025, net cash provided by financing activities was $16.1 million, which consisted primarily of proceeds from borrowings under our Credit Agreement of $19.2 million and proceeds from the issuance of shares under our ATM program of $1.7 million, partially offset by the payment of deferred financing and offering costs of $3.1 million and payments on our Credit Agreement of $1.9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2024 was $0.3 million, primarily due to net proceeds from the exercise of stock options and the issuance of common stock under the employee stock purchase plan, offset by taxes withheld on employee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the related notes thereto included elsewhere in this Annual Report on Form 10-K are prepared in accordance with GAAP. The preparation of our consolidated financial statements in conformity with GAAP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200" w:after="283"/>
        <w:jc w:val="both"/>
        <w:rPr/>
      </w:pPr>
      <w:r>
        <w:rPr>
          <w:rFonts w:ascii="Times New Roman;serif" w:hAnsi="Times New Roman;serif"/>
          <w:b w:val="false"/>
          <w:color w:val="000000"/>
          <w:sz w:val="20"/>
        </w:rPr>
        <w:t xml:space="preserve">We believe that the following accounting estimates involve a high degree of judgment and complexity. Accordingly, these are the policies we believe are the most critical to aid in fully understanding and evaluating our financial condition and results of our operations. See Note 2,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in the notes to our consolidated financial statements included in Part II, Item 8, for a description of our other significant accounting policies and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finished goods, stated at the lower of cost or net realizable value. We value our inventory using the weighted-average cost method and include product costs from our suppliers, freight, import duties and other landing costs. We periodically review inventory and record write-downs as necessary to appropriately value end of life, slow-moving, damaged, and excess inventory. To determine if the value of inventory requires a write-down, we estimate the net realizable value of inventory by considering current and anticipated demand, customer preferences and buying trends, the age of the merchandise, and product quality. Inventory write-downs are recognized in cost of revenue in the consolidated statements of operations and comprehensive loss. Our reserve estimates require us to make assumptions based on the current rate of sales, age of inventory, salability and profitability of inventory, all of which may be affected by changes in our product mix and consumer preferences. These adjustments are estimates which could vary significantly, either favorably or unfavorably, from actual requirements if future economic conditions, customer demand or other factors differ from expectations.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Our primary source of revenue is from sales of shoes and apparel products. We determine revenue recognition in accordance with Financial Accounting Standards Board Accounting Standards Codification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Revenue is recognized when transfer of control to the customer has occurred, based on the terms of sale. A customer is considered to have control once they are able to direct the use and receive substantially all of the benefits of the product. Control is transferred to third-party customers upon shipment. Control transfers to retail store customers at the time of sale and to digital customers upon shipment. The transaction price is determined based upon the invoiced sales price, less anticipated sales returns from and discounts to customers. As customers may return products, we record a reserve for estimated product returns in each reporting period as a reduction of net revenue. We record the expected customer refund liability as a reduction to revenue, and the expected inventory right of recovery as a reduction of cost of revenue. Returned assets related to the refund liability are measured at the carrying amount of the goods at the time of sale, less any expected costs to recover the goods and any expected reduction in value. We believe revenue recognition is subject to uncertainty as actual return costs can differ from previous estimates based on the amount of customer returns or exchanges, which would result in adjustments to the amount of liability and corresponding revenue in the period in which such differences occur. In making such estimates, we analyze historical returns, impact of seasonality, current economic and market trends, current business practices, and changes in customer demand and acceptance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measure and recognize compensation expense for all stock-based awards, including stock options and restricted stock units, or RSUs, granted to employees, directors, and non-employees, and stock purchase rights granted under the 2021 ESPP, or ESPP Rights, to employees, based on the estimated fair value of the awards on the date of grant. The fair value of each stock option and ESPP Right granted is estimated using the Black-Scholes option-pricing model. The fair value of each RSU award is based on the estimated fair value of our common stock on the date of grant. Compensation expense is generally recognized as expense on a straight-line basis over the service period based on the vesting requirements. We recognize forfeitures as they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stock options, we generally estimate the fair value using the Black-Scholes option pricing model, which requires the input of subjective assumptions, including (1) the fair value of common stock, (2) the expected stock price volatility, (3) the expected term of the award, (4) the risk-free interest rate and (5) expected dividends. During the years ended December 31, 2025 and 2024, the number of stock options granted was immaterial.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 limited basis, we have issued RSUs that contain service and market-based vesting conditions (PSUs). Such awards were valued using a Monte Carlo simulation and the underlying expense will be recognized as the associated vesting conditions are met. Previously recognized compensation expense is not reversed if PSUs for which the requisite service has been rendered have vested and the market condition has not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For information on recent accounting pronouncements, see Note 2,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in the notes to our consolidated financial statements included in Part II,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an “emerging growth company,” as defined in the Jumpstart Our Business Startups Act of 2012,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December 31, 2026, the last day of the fiscal year following the fifth anniversary of our initial public offering or such earlier time that we are no longer an emerging growth company. We would cease to be an emerging growth company if we have more than $1.235 billion in annual gross revenue, we have more than $700.0 million in market value of our Class A stock held by non-affiliates or we issue more than $1.0 billion of non-convertible debt securities over a three-year period.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a “smaller reporting company,” as defined by Rule 12b-2 of the Exchange Act and therefore qualify for reduced disclosure requirements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736" w:type="dxa"/>
        <w:jc w:val="left"/>
        <w:tblInd w:w="0" w:type="dxa"/>
        <w:tblLayout w:type="fixed"/>
        <w:tblCellMar>
          <w:top w:w="28" w:type="dxa"/>
          <w:left w:w="28" w:type="dxa"/>
          <w:bottom w:w="28" w:type="dxa"/>
          <w:right w:w="28" w:type="dxa"/>
        </w:tblCellMar>
      </w:tblPr>
      <w:tblGrid>
        <w:gridCol w:w="2242"/>
        <w:gridCol w:w="1971"/>
        <w:gridCol w:w="1982"/>
        <w:gridCol w:w="158"/>
        <w:gridCol w:w="158"/>
        <w:gridCol w:w="225"/>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24">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24">
              <w:r>
                <w:rPr>
                  <w:rStyle w:val="InternetLink"/>
                  <w:rFonts w:ascii="Times New Roman;serif" w:hAnsi="Times New Roman;serif"/>
                  <w:b w:val="false"/>
                  <w:color w:val="0000FF"/>
                  <w:sz w:val="20"/>
                  <w:u w:val="single"/>
                </w:rPr>
                <w:t>67</w:t>
              </w:r>
            </w:hyperlink>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27">
              <w:r>
                <w:rPr>
                  <w:rStyle w:val="InternetLink"/>
                  <w:rFonts w:ascii="Times New Roman;serif" w:hAnsi="Times New Roman;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27">
              <w:r>
                <w:rPr>
                  <w:rStyle w:val="InternetLink"/>
                  <w:rFonts w:ascii="Times New Roman;serif" w:hAnsi="Times New Roman;serif"/>
                  <w:b w:val="false"/>
                  <w:color w:val="0000FF"/>
                  <w:sz w:val="20"/>
                  <w:u w:val="single"/>
                </w:rPr>
                <w:t>68</w:t>
              </w:r>
            </w:hyperlink>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30">
              <w:r>
                <w:rPr>
                  <w:rStyle w:val="InternetLink"/>
                  <w:rFonts w:ascii="Times New Roman;serif" w:hAnsi="Times New Roman;serif"/>
                  <w:b w:val="false"/>
                  <w:color w:val="0000FF"/>
                  <w:sz w:val="20"/>
                  <w:u w:val="single"/>
                </w:rPr>
                <w:t>Consolidated Statements of Operations and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30">
              <w:r>
                <w:rPr>
                  <w:rStyle w:val="InternetLink"/>
                  <w:rFonts w:ascii="Times New Roman;serif" w:hAnsi="Times New Roman;serif"/>
                  <w:b w:val="false"/>
                  <w:color w:val="0000FF"/>
                  <w:sz w:val="20"/>
                  <w:u w:val="single"/>
                </w:rPr>
                <w:t>69</w:t>
              </w:r>
            </w:hyperlink>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33">
              <w:r>
                <w:rPr>
                  <w:rStyle w:val="InternetLink"/>
                  <w:rFonts w:ascii="Times New Roman;serif" w:hAnsi="Times New Roman;serif"/>
                  <w:b w:val="false"/>
                  <w:color w:val="0000FF"/>
                  <w:sz w:val="20"/>
                  <w:u w:val="single"/>
                </w:rPr>
                <w:t>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33">
              <w:r>
                <w:rPr>
                  <w:rStyle w:val="InternetLink"/>
                  <w:rFonts w:ascii="Times New Roman;serif" w:hAnsi="Times New Roman;serif"/>
                  <w:b w:val="false"/>
                  <w:color w:val="0000FF"/>
                  <w:sz w:val="20"/>
                  <w:u w:val="single"/>
                </w:rPr>
                <w:t>70</w:t>
              </w:r>
            </w:hyperlink>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36">
              <w:r>
                <w:rPr>
                  <w:rStyle w:val="InternetLink"/>
                  <w:rFonts w:ascii="Times New Roman;serif" w:hAnsi="Times New Roman;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36">
              <w:r>
                <w:rPr>
                  <w:rStyle w:val="InternetLink"/>
                  <w:rFonts w:ascii="Times New Roman;serif" w:hAnsi="Times New Roman;serif"/>
                  <w:b w:val="false"/>
                  <w:color w:val="0000FF"/>
                  <w:sz w:val="20"/>
                  <w:u w:val="single"/>
                </w:rPr>
                <w:t>71</w:t>
              </w:r>
            </w:hyperlink>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139">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cd8f2da3ba444fa9d031e91ce613f4_139">
              <w:r>
                <w:rPr>
                  <w:rStyle w:val="InternetLink"/>
                  <w:rFonts w:ascii="Times New Roman;serif" w:hAnsi="Times New Roman;serif"/>
                  <w:b w:val="false"/>
                  <w:color w:val="0000FF"/>
                  <w:sz w:val="20"/>
                  <w:u w:val="singl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Allbirds, Inc.</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Allbirds,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assuming that the Company will continue as a going concern. As discussed in Note 2 to the financial statements, the Company has experienced recurring net losses and negative cash flows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932"/>
        <w:gridCol w:w="2394"/>
        <w:gridCol w:w="2376"/>
        <w:gridCol w:w="200"/>
        <w:gridCol w:w="753"/>
        <w:gridCol w:w="111"/>
        <w:gridCol w:w="109"/>
        <w:gridCol w:w="109"/>
        <w:gridCol w:w="109"/>
        <w:gridCol w:w="200"/>
        <w:gridCol w:w="752"/>
        <w:gridCol w:w="160"/>
      </w:tblGrid>
      <w:tr>
        <w:trPr/>
        <w:tc>
          <w:tcPr>
            <w:tcW w:w="2932"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equipment—net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2,000,000,000 shares authorized as of December 31, 2025 and 2024; 6,176,841 and 5,456,072 shares issued and outstanding as of December 31, 2025 and 2024, respectively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200,000,000 shares authorized as of December 31, 2025 and 2024; 2,542,340 and 2,542,365 shares issued and outstanding as of December 31, 2025 and 2024, respectively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109,419 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99"/>
        <w:gridCol w:w="2333"/>
        <w:gridCol w:w="2290"/>
        <w:gridCol w:w="211"/>
        <w:gridCol w:w="826"/>
        <w:gridCol w:w="109"/>
        <w:gridCol w:w="109"/>
        <w:gridCol w:w="109"/>
        <w:gridCol w:w="109"/>
        <w:gridCol w:w="211"/>
        <w:gridCol w:w="826"/>
        <w:gridCol w:w="109"/>
        <w:gridCol w:w="109"/>
        <w:gridCol w:w="155"/>
      </w:tblGrid>
      <w:tr>
        <w:trPr/>
        <w:tc>
          <w:tcPr>
            <w:tcW w:w="269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sales of businesses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data: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common stockholders, basic and diluted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8,159,108 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7,862,853 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1745" w:type="dxa"/>
        <w:jc w:val="center"/>
        <w:tblInd w:w="0" w:type="dxa"/>
        <w:tblLayout w:type="fixed"/>
        <w:tblCellMar>
          <w:top w:w="28" w:type="dxa"/>
          <w:left w:w="28" w:type="dxa"/>
          <w:bottom w:w="28" w:type="dxa"/>
          <w:right w:w="28" w:type="dxa"/>
        </w:tblCellMar>
      </w:tblPr>
      <w:tblGrid>
        <w:gridCol w:w="492"/>
        <w:gridCol w:w="354"/>
        <w:gridCol w:w="355"/>
        <w:gridCol w:w="435"/>
        <w:gridCol w:w="436"/>
        <w:gridCol w:w="171"/>
        <w:gridCol w:w="109"/>
        <w:gridCol w:w="109"/>
        <w:gridCol w:w="109"/>
        <w:gridCol w:w="196"/>
        <w:gridCol w:w="406"/>
        <w:gridCol w:w="109"/>
        <w:gridCol w:w="109"/>
        <w:gridCol w:w="109"/>
        <w:gridCol w:w="109"/>
        <w:gridCol w:w="435"/>
        <w:gridCol w:w="436"/>
        <w:gridCol w:w="171"/>
        <w:gridCol w:w="109"/>
        <w:gridCol w:w="109"/>
        <w:gridCol w:w="109"/>
        <w:gridCol w:w="196"/>
        <w:gridCol w:w="406"/>
        <w:gridCol w:w="109"/>
        <w:gridCol w:w="109"/>
        <w:gridCol w:w="109"/>
        <w:gridCol w:w="109"/>
        <w:gridCol w:w="196"/>
        <w:gridCol w:w="736"/>
        <w:gridCol w:w="109"/>
        <w:gridCol w:w="109"/>
        <w:gridCol w:w="109"/>
        <w:gridCol w:w="109"/>
        <w:gridCol w:w="228"/>
        <w:gridCol w:w="665"/>
        <w:gridCol w:w="128"/>
        <w:gridCol w:w="109"/>
        <w:gridCol w:w="109"/>
        <w:gridCol w:w="109"/>
        <w:gridCol w:w="196"/>
        <w:gridCol w:w="751"/>
        <w:gridCol w:w="109"/>
        <w:gridCol w:w="109"/>
        <w:gridCol w:w="109"/>
        <w:gridCol w:w="109"/>
        <w:gridCol w:w="196"/>
        <w:gridCol w:w="736"/>
        <w:gridCol w:w="109"/>
        <w:gridCol w:w="109"/>
        <w:gridCol w:w="109"/>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Total Stockholders’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5,128,961 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2,627,388 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shares into Class A common stock</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5,456,072 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2,542,365 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shares into Class A common stock</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at-the-market (ATM) offerings, net of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6,176,841 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2,542,340 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286" w:type="dxa"/>
        <w:jc w:val="center"/>
        <w:tblInd w:w="0" w:type="dxa"/>
        <w:tblLayout w:type="fixed"/>
        <w:tblCellMar>
          <w:top w:w="28" w:type="dxa"/>
          <w:left w:w="28" w:type="dxa"/>
          <w:bottom w:w="28" w:type="dxa"/>
          <w:right w:w="28" w:type="dxa"/>
        </w:tblCellMar>
      </w:tblPr>
      <w:tblGrid>
        <w:gridCol w:w="2407"/>
        <w:gridCol w:w="2110"/>
        <w:gridCol w:w="2127"/>
        <w:gridCol w:w="196"/>
        <w:gridCol w:w="721"/>
        <w:gridCol w:w="109"/>
        <w:gridCol w:w="109"/>
        <w:gridCol w:w="109"/>
        <w:gridCol w:w="109"/>
        <w:gridCol w:w="196"/>
        <w:gridCol w:w="721"/>
        <w:gridCol w:w="109"/>
        <w:gridCol w:w="109"/>
        <w:gridCol w:w="154"/>
      </w:tblGrid>
      <w:tr>
        <w:trPr/>
        <w:tc>
          <w:tcPr>
            <w:tcW w:w="240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write-down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from sales of businesses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and current and noncurrent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businesses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security deposits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line of 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line of credit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in at-the-market (ATM) offerings, net of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and paid on employee stock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year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included in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included in capitalized internal-use software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"https://www.sec.gov/Archives/edgar/data/1653909/000162828021021575/allbirds424b4.htm" \l "ic32e6ef131db4680bd39cb5ba2f54bc8_25"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Table of Contents</w:t>
      </w:r>
      <w:r>
        <w:rPr>
          <w:rStyle w:val="InternetLink"/>
          <w:sz w:val="20"/>
          <w:u w:val="single"/>
          <w:b w:val="false"/>
          <w:rFonts w:ascii="Times New Roman;serif" w:hAnsi="Times New Roman;serif"/>
          <w:color w:val="0000FF"/>
        </w:rPr>
        <w:fldChar w:fldCharType="end"/>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ALLBIRDS, INC.</w:t>
      </w:r>
    </w:p>
    <w:tbl>
      <w:tblPr>
        <w:tblW w:w="7471" w:type="dxa"/>
        <w:jc w:val="center"/>
        <w:tblInd w:w="0" w:type="dxa"/>
        <w:tblLayout w:type="fixed"/>
        <w:tblCellMar>
          <w:top w:w="28" w:type="dxa"/>
          <w:left w:w="28" w:type="dxa"/>
          <w:bottom w:w="28" w:type="dxa"/>
          <w:right w:w="28" w:type="dxa"/>
        </w:tblCellMar>
      </w:tblPr>
      <w:tblGrid>
        <w:gridCol w:w="1803"/>
        <w:gridCol w:w="1585"/>
        <w:gridCol w:w="1591"/>
        <w:gridCol w:w="196"/>
        <w:gridCol w:w="646"/>
        <w:gridCol w:w="109"/>
        <w:gridCol w:w="109"/>
        <w:gridCol w:w="109"/>
        <w:gridCol w:w="109"/>
        <w:gridCol w:w="196"/>
        <w:gridCol w:w="646"/>
        <w:gridCol w:w="109"/>
        <w:gridCol w:w="109"/>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Allbirds, Inc. (“Allbirds” and, together with its wholly owned subsidiaries, the “Company,” “we,” or “our”) was incorporated in the state of Delaware on May 6, 2015. Headquartered in San Francisco, California, Allbirds is a global lifestyle brand that innovates with sustainable materials to make better footwear and apparel products in a better way, while treading lighter on our planet. The majority of our revenue is from sales directly to consumers via our digital and retail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200" w:after="283"/>
        <w:jc w:val="both"/>
        <w:rPr/>
      </w:pPr>
      <w:r>
        <w:rPr>
          <w:rFonts w:ascii="Times New Roman;serif" w:hAnsi="Times New Roman;serif"/>
          <w:b/>
          <w:i/>
          <w:color w:val="000000"/>
          <w:sz w:val="20"/>
        </w:rPr>
        <w:t>Basis of Preparation</w:t>
      </w:r>
      <w:r>
        <w:rPr>
          <w:color w:val="000000"/>
        </w:rPr>
        <w:t>—</w:t>
      </w:r>
      <w:r>
        <w:rPr>
          <w:rFonts w:ascii="Times New Roman;serif" w:hAnsi="Times New Roman;serif"/>
          <w:b w:val="false"/>
          <w:color w:val="000000"/>
          <w:sz w:val="20"/>
        </w:rPr>
        <w:t xml:space="preserve">The consolidated financial statements have been presented in U.S. dollars and prepared in accordance with United States generally accepted accounting principles (“GAAP”). Certain monetary amounts, percentages, and other figures included elsewhere in these consolidated financial statements and accompanying notes have been subject to rounding adjustments. As such,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lineRule="auto" w:line="288" w:before="200" w:after="283"/>
        <w:jc w:val="both"/>
        <w:rPr/>
      </w:pPr>
      <w:r>
        <w:rPr>
          <w:rFonts w:ascii="Times New Roman;serif" w:hAnsi="Times New Roman;serif"/>
          <w:b/>
          <w:i/>
          <w:color w:val="000000"/>
          <w:sz w:val="20"/>
        </w:rPr>
        <w:t>Going Concern—</w:t>
      </w:r>
      <w:r>
        <w:rPr>
          <w:rFonts w:ascii="Times New Roman;serif" w:hAnsi="Times New Roman;serif"/>
          <w:b w:val="false"/>
          <w:color w:val="000000"/>
          <w:sz w:val="20"/>
        </w:rPr>
        <w:t xml:space="preserve">Accounting Standards Codification (ASC) 205-40, </w:t>
      </w:r>
      <w:r>
        <w:rPr>
          <w:rFonts w:ascii="Times New Roman;serif" w:hAnsi="Times New Roman;serif"/>
          <w:b w:val="false"/>
          <w:i/>
          <w:color w:val="000000"/>
          <w:sz w:val="20"/>
        </w:rPr>
        <w:t>Presentation of Financial Statements - Going Concern</w:t>
      </w:r>
      <w:r>
        <w:rPr>
          <w:color w:val="000000"/>
        </w:rPr>
        <w:t xml:space="preserve"> </w:t>
      </w:r>
      <w:r>
        <w:rPr>
          <w:rFonts w:ascii="Times New Roman;serif" w:hAnsi="Times New Roman;serif"/>
          <w:b w:val="false"/>
          <w:color w:val="000000"/>
          <w:sz w:val="20"/>
        </w:rPr>
        <w:t xml:space="preserve">requires management to evaluate an entity’s ability to continue as a going concern for the twelve-month period following the date on which the financial statements are available for issuance. Such an evaluation indicated certain negative conditions and events that raise substantial doubt about the Company’s ability to continue as a going concern. During the year ended December 31, 2025, the Company incurred a net loss of $77.3 million and net cash used in operating activities was $55.1 million. As of December 31, 2025, the Company had $26.7 million in cash and cash equivalents and $17.4 million outstanding on its asset-based revolving credit facility (refer to Note 6, for further information). The Company expects to continue to incur net losses and negative cash flows from operating activities, and the Company does not expect to continue its operations following the completion of the Asset Sale (as defined in Note 16). If the Asset Sale is not completed for any reason, we do not anticipate we would be able to meet our future liquidity needs without accessing additional capital or engaging in strategic transactions which are not within our control and are subject to various risks and uncertainties.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prepared in accordance with generally accepted accounting principles applicable to a going concern, which contemplates the realization of assets and the satisfaction of liabilities in the normal course of business. The Company's consolidated financial statements have been prepared assuming that the Company will continue as a going concern and do not include any adjustments relating to the recoverability and classification of recorded asset amounts or the amounts and classification of liabilities that might result from the outcome of this uncertainty.</w:t>
      </w:r>
    </w:p>
    <w:p>
      <w:pPr>
        <w:pStyle w:val="TextBody"/>
        <w:bidi w:val="0"/>
        <w:spacing w:lineRule="auto" w:line="288" w:before="200" w:after="283"/>
        <w:jc w:val="both"/>
        <w:rPr/>
      </w:pPr>
      <w:r>
        <w:rPr>
          <w:rFonts w:ascii="Times New Roman;serif" w:hAnsi="Times New Roman;serif"/>
          <w:b/>
          <w:i/>
          <w:color w:val="000000"/>
          <w:sz w:val="20"/>
        </w:rPr>
        <w:t>Reverse Stock Split—</w:t>
      </w:r>
      <w:r>
        <w:rPr>
          <w:rFonts w:ascii="Times New Roman;serif" w:hAnsi="Times New Roman;serif"/>
          <w:b w:val="false"/>
          <w:color w:val="000000"/>
          <w:sz w:val="20"/>
        </w:rPr>
        <w:t xml:space="preserve">On August 30, 2024, following stockholder and Board of Directors’ approval, we announced that we had filed with the Secretary of State of the State of Delaware a Certificate of Amendment to the Company’s Ninth Amended and Restated Certificate of Incorporation (the “Certificate”) to effect a reverse stock split (the “Reverse Stock Split”) of the Company’s Class A common stock and Class B common stock (together the “common stock”), at a ratio of 1-for-20, effective as of 5:00 p.m. Eastern Standard Time on September 4, 2024 (the “Effective Time”). Accordingly, each holder of common stock owned fewer shares of common stock as a result of the Reverse Stock Split. However, the Reverse Stock Split affected all holders of common stock uniformly and did not affect any stockholder’s percentage ownership interest in the Company, except to the extent that the Reverse Stock Split resulted in an adjustment to a stockholders’s ownership of common stock due to the treatment of fractional shares in the Reverse Stock Split. Therefore, voting rights and other rights and preferences of the holders of Common Stock were not affected by the Reverse Stock Split (other than as a result of the treatment of fractional shares). Common stock issued pursuant to the Reverse Stock Split remained fully paid and nonassessable, without any change in the par value per share.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fractional shares were issued as a result of the Reverse Stock Split. Instead, each stockholder received a cash payment equal to the fraction of which such stockholder was otherwise entitled multiplied by the closing price per share of Class A common stock on the date of the Effective Time as reported by Nasdaq (as adjusted to give effect to the Reverse Stock Split). The common stock began trading on a Reverse Stock Split-adjusted basis on The Nasdaq Global Select Market on September 5, 2024. The trading symbol for the Class A common stock remained “BIRD.”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data in the accompanying consolidated financial statements and accompanying notes have been retroactively adjusted to reflect the effect of the Reverse Stock Split.</w:t>
      </w:r>
    </w:p>
    <w:p>
      <w:pPr>
        <w:pStyle w:val="TextBody"/>
        <w:bidi w:val="0"/>
        <w:spacing w:lineRule="auto" w:line="288" w:before="200" w:after="283"/>
        <w:jc w:val="both"/>
        <w:rPr/>
      </w:pPr>
      <w:r>
        <w:rPr>
          <w:rFonts w:ascii="Times New Roman;serif" w:hAnsi="Times New Roman;serif"/>
          <w:b/>
          <w:i/>
          <w:color w:val="000000"/>
          <w:sz w:val="20"/>
        </w:rPr>
        <w:t>Principles of Consolidation</w:t>
      </w:r>
      <w:r>
        <w:rPr>
          <w:color w:val="000000"/>
        </w:rPr>
        <w:t>—</w:t>
      </w:r>
      <w:r>
        <w:rPr>
          <w:rFonts w:ascii="Times New Roman;serif" w:hAnsi="Times New Roman;serif"/>
          <w:b w:val="false"/>
          <w:color w:val="000000"/>
          <w:sz w:val="20"/>
        </w:rPr>
        <w:t>The consolidated financial statements include the accounts of Allbirds, Inc. and our wholly owned subsidiaries. All intercompany balances and transactions have been eliminated in consolidation.</w:t>
      </w:r>
    </w:p>
    <w:p>
      <w:pPr>
        <w:pStyle w:val="TextBody"/>
        <w:bidi w:val="0"/>
        <w:spacing w:lineRule="auto" w:line="288" w:before="200" w:after="283"/>
        <w:jc w:val="both"/>
        <w:rPr/>
      </w:pPr>
      <w:r>
        <w:rPr>
          <w:rFonts w:ascii="Times New Roman;serif" w:hAnsi="Times New Roman;serif"/>
          <w:b/>
          <w:i/>
          <w:color w:val="000000"/>
          <w:sz w:val="20"/>
        </w:rPr>
        <w:t>Use of Estimates</w:t>
      </w:r>
      <w:r>
        <w:rPr>
          <w:color w:val="000000"/>
        </w:rPr>
        <w:t>—</w:t>
      </w: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at the date of the financial statements and reported amounts of revenues and expenses during the reporting period. Actual results could differ from these estimates.</w:t>
      </w:r>
    </w:p>
    <w:p>
      <w:pPr>
        <w:pStyle w:val="TextBody"/>
        <w:bidi w:val="0"/>
        <w:spacing w:lineRule="auto" w:line="288" w:before="200" w:after="283"/>
        <w:jc w:val="both"/>
        <w:rPr/>
      </w:pPr>
      <w:r>
        <w:rPr>
          <w:rFonts w:ascii="Times New Roman;serif" w:hAnsi="Times New Roman;serif"/>
          <w:b/>
          <w:i/>
          <w:color w:val="000000"/>
          <w:sz w:val="20"/>
        </w:rPr>
        <w:t>Risks and Uncertainties</w:t>
      </w:r>
      <w:r>
        <w:rPr>
          <w:color w:val="000000"/>
        </w:rPr>
        <w:t>—</w:t>
      </w:r>
      <w:r>
        <w:rPr>
          <w:rFonts w:ascii="Times New Roman;serif" w:hAnsi="Times New Roman;serif"/>
          <w:b w:val="false"/>
          <w:color w:val="000000"/>
          <w:sz w:val="20"/>
        </w:rPr>
        <w:t xml:space="preserve">We continue to monitor and respond to evolving developments about recent macroeconomic events, including elevated inflation, the U.S. Federal Reserve adjusting interest rates, bank failures, supply chain disruptions, fluctuations in currency exchange rates, tariffs, and geopolitical conflicts, which have led to economic uncertainty in the global economy. These macroeconomic conditions have had and are likely to continue to have adverse consequences on consumer spending, including the buying patterns of our customers and prospective customers. The conditions caused by the aforementioned recent macroeconomic events could affect the rate of consumer spending and could adversely affect demand for our products, lengthen our sales cycles, reduce the value of inventory, reduce expected spending from new customers, and affect our suppliers, all of which could adversely affect our business, results of operations, and financial condition.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the issuance of the financial statements, we are not aware of any specific event or circumstance related to the aforementioned macroeconomic events that would require us to update our estimates or judgments or adjust the carrying value of our assets or liabilities. Actual results could differ from those estimates and any such differences may be material to the consolidated financial statements.</w:t>
      </w:r>
    </w:p>
    <w:p>
      <w:pPr>
        <w:pStyle w:val="TextBody"/>
        <w:bidi w:val="0"/>
        <w:spacing w:lineRule="auto" w:line="288" w:before="200" w:after="283"/>
        <w:jc w:val="both"/>
        <w:rPr/>
      </w:pPr>
      <w:r>
        <w:rPr>
          <w:rFonts w:ascii="Times New Roman;serif" w:hAnsi="Times New Roman;serif"/>
          <w:b/>
          <w:i/>
          <w:color w:val="000000"/>
          <w:sz w:val="20"/>
        </w:rPr>
        <w:t>Segments</w:t>
      </w:r>
      <w:r>
        <w:rPr>
          <w:color w:val="000000"/>
        </w:rPr>
        <w:t>—</w:t>
      </w:r>
      <w:r>
        <w:rPr>
          <w:rFonts w:ascii="Times New Roman;serif" w:hAnsi="Times New Roman;serif"/>
          <w:b w:val="false"/>
          <w:color w:val="000000"/>
          <w:sz w:val="20"/>
        </w:rPr>
        <w:t>We operate as one operating segment. Our Chief Executive Officer is our chief operating decision maker who evaluates performance and makes operating decisions about allocating resources based on consolidated financial data. There was no change in our operating segment for the year ended December 31, 2025. Refer to Note 8 for more information on our segments and geographic information.</w:t>
      </w:r>
    </w:p>
    <w:p>
      <w:pPr>
        <w:pStyle w:val="TextBody"/>
        <w:bidi w:val="0"/>
        <w:spacing w:lineRule="auto" w:line="288" w:before="200" w:after="283"/>
        <w:jc w:val="both"/>
        <w:rPr/>
      </w:pPr>
      <w:r>
        <w:rPr>
          <w:rFonts w:ascii="Times New Roman;serif" w:hAnsi="Times New Roman;serif"/>
          <w:b/>
          <w:i/>
          <w:color w:val="000000"/>
          <w:sz w:val="20"/>
        </w:rPr>
        <w:t>Foreign Currency Transactions</w:t>
      </w:r>
      <w:r>
        <w:rPr>
          <w:color w:val="000000"/>
        </w:rPr>
        <w:t>—</w:t>
      </w:r>
      <w:r>
        <w:rPr>
          <w:rFonts w:ascii="Times New Roman;serif" w:hAnsi="Times New Roman;serif"/>
          <w:b w:val="false"/>
          <w:color w:val="000000"/>
          <w:sz w:val="20"/>
        </w:rPr>
        <w:t>Our reporting currency is the U.S. dollar. The functional currency for each subsidiary included in these consolidated financial statements that is domiciled outside of the United States is generally the applicable local currency of that country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as a component of accumulated other comprehensive income or loss. Adjustments that arise from foreign currency exchange rate changes on transactions denominated in a currency other than the functional currency are recognized as other income or expense within the consolidated statements of operations and comprehensive loss.</w:t>
      </w:r>
    </w:p>
    <w:p>
      <w:pPr>
        <w:pStyle w:val="TextBody"/>
        <w:bidi w:val="0"/>
        <w:spacing w:lineRule="auto" w:line="288" w:before="200" w:after="283"/>
        <w:jc w:val="both"/>
        <w:rPr/>
      </w:pPr>
      <w:r>
        <w:rPr>
          <w:rFonts w:ascii="Times New Roman;serif" w:hAnsi="Times New Roman;serif"/>
          <w:b/>
          <w:i/>
          <w:color w:val="000000"/>
          <w:sz w:val="20"/>
        </w:rPr>
        <w:t>Cash, Cash Equivalents, and Restricted Cash</w:t>
      </w:r>
      <w:r>
        <w:rPr>
          <w:color w:val="000000"/>
        </w:rPr>
        <w:t>—</w:t>
      </w:r>
      <w:r>
        <w:rPr>
          <w:rFonts w:ascii="Times New Roman;serif" w:hAnsi="Times New Roman;serif"/>
          <w:b w:val="false"/>
          <w:color w:val="000000"/>
          <w:sz w:val="20"/>
        </w:rPr>
        <w:t>We consider all highly liquid investments with an original maturity date of three months or less as cash equivalents. Cash and cash equivalents are comprised primarily of domestic and foreign bank accounts and money market funds. These cash and cash equivalents are valued based on Level 1 inputs, which consist of quoted prices in active markets. We place our cash and cash equivalents with several high credit quality financial institutions which, at times, may be in excess of Federal Deposit Insurance Corporation (“FDIC”) insurance limits. We have not experienced any losses in such accounts and periodically evaluate the credit worthiness of the financial institutions. Our foreign bank accounts are not subject to FDIC insurance.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serves as collateral for a bond with the United States Customs and Border Protection (“CBP”), which allows us to take possession of our inventory before all formalities with the CBP are completed for imported products. Restricted cash is included in prepaid expenses and other current assets on the consolidated balance sheets.</w:t>
      </w:r>
    </w:p>
    <w:p>
      <w:pPr>
        <w:pStyle w:val="TextBody"/>
        <w:bidi w:val="0"/>
        <w:spacing w:lineRule="auto" w:line="288" w:before="200" w:after="283"/>
        <w:jc w:val="both"/>
        <w:rPr/>
      </w:pPr>
      <w:r>
        <w:rPr>
          <w:rFonts w:ascii="Times New Roman;serif" w:hAnsi="Times New Roman;serif"/>
          <w:b/>
          <w:i/>
          <w:color w:val="000000"/>
          <w:sz w:val="20"/>
        </w:rPr>
        <w:t>Accounts Receivable</w:t>
      </w:r>
      <w:r>
        <w:rPr>
          <w:color w:val="000000"/>
        </w:rPr>
        <w:t>—</w:t>
      </w:r>
      <w:r>
        <w:rPr>
          <w:rFonts w:ascii="Times New Roman;serif" w:hAnsi="Times New Roman;serif"/>
          <w:b w:val="false"/>
          <w:color w:val="000000"/>
          <w:sz w:val="20"/>
        </w:rPr>
        <w:t xml:space="preserve">Accounts receivable consist primarily of amounts due from customers, which results from sales to customers including credit card deposits in transit at the balance sheet date, the majority of which are settled within 2 to 3 business days, and third-party accounts receivable, which are settled per the terms of the sale. Third-party accounts receivable was $6.0 million and $4.9 million as of December 31, 2025 and 2024, respectively. Credit card receivables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$0.7 million and $1.0 million as of December 31, 2025 and 2024, respectively. Other receivables were $0.1 million and $0.3 million as of December 31, 2025 and 2024, respectively.</w:t>
      </w:r>
    </w:p>
    <w:p>
      <w:pPr>
        <w:pStyle w:val="TextBody"/>
        <w:bidi w:val="0"/>
        <w:spacing w:lineRule="auto" w:line="288" w:before="200" w:after="283"/>
        <w:jc w:val="both"/>
        <w:rPr/>
      </w:pPr>
      <w:r>
        <w:rPr>
          <w:rFonts w:ascii="Times New Roman;serif" w:hAnsi="Times New Roman;serif"/>
          <w:b/>
          <w:i/>
          <w:color w:val="000000"/>
          <w:sz w:val="20"/>
        </w:rPr>
        <w:t>Inventory</w:t>
      </w:r>
      <w:r>
        <w:rPr>
          <w:color w:val="000000"/>
        </w:rPr>
        <w:t>—</w:t>
      </w:r>
      <w:r>
        <w:rPr>
          <w:rFonts w:ascii="Times New Roman;serif" w:hAnsi="Times New Roman;serif"/>
          <w:b w:val="false"/>
          <w:color w:val="000000"/>
          <w:sz w:val="20"/>
        </w:rPr>
        <w:t>Inventory consists of finished goods, stated at the lower of cost or net realizable value. We value our inventory using the weighted-average cost method and include product costs from our suppliers, freight, import duties and other landing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periodically review inventory and record reserves as necessary to appropriately value slow-moving, damaged, and excess inventory. To determine if the value of inventory requires a write-down, we estimate the market value of inventory by considering current and anticipated demand, customer preferences and buying trends, and the age of the merchandise. Inventory write-downs are recognized as cost of revenue in the consolidated statements of operations and comprehensive loss. As of December 31, 2025 and 2024, we recorded an inventory reserve to reduce the value of our inventory by $1.6 million and $3.6 million, respectively, within inventory on the consolidated balance sheets. We recognized $6.0 million and $7.0 million of inventory write-downs for the years ended December 31, 2025 and 2024, respectively.</w:t>
      </w:r>
    </w:p>
    <w:p>
      <w:pPr>
        <w:pStyle w:val="TextBody"/>
        <w:bidi w:val="0"/>
        <w:spacing w:lineRule="auto" w:line="288" w:before="200" w:after="283"/>
        <w:jc w:val="both"/>
        <w:rPr/>
      </w:pPr>
      <w:r>
        <w:rPr>
          <w:rFonts w:ascii="Times New Roman;serif" w:hAnsi="Times New Roman;serif"/>
          <w:b/>
          <w:i/>
          <w:color w:val="000000"/>
          <w:sz w:val="20"/>
        </w:rPr>
        <w:t>Investments</w:t>
      </w:r>
      <w:r>
        <w:rPr>
          <w:color w:val="000000"/>
        </w:rPr>
        <w:t>—</w:t>
      </w:r>
      <w:r>
        <w:rPr>
          <w:rFonts w:ascii="Times New Roman;serif" w:hAnsi="Times New Roman;serif"/>
          <w:b w:val="false"/>
          <w:color w:val="000000"/>
          <w:sz w:val="20"/>
        </w:rPr>
        <w:t xml:space="preserve">We account for our investments in equity securities under the measurement alternative described in FASB ASC Topic 321, </w:t>
      </w:r>
      <w:r>
        <w:rPr>
          <w:rFonts w:ascii="Times New Roman;serif" w:hAnsi="Times New Roman;serif"/>
          <w:b w:val="false"/>
          <w:i/>
          <w:color w:val="000000"/>
          <w:sz w:val="20"/>
        </w:rPr>
        <w:t>Investments - Equity Securities,</w:t>
      </w:r>
      <w:r>
        <w:rPr>
          <w:color w:val="000000"/>
        </w:rPr>
        <w:t xml:space="preserve"> </w:t>
      </w:r>
      <w:r>
        <w:rPr>
          <w:rFonts w:ascii="Times New Roman;serif" w:hAnsi="Times New Roman;serif"/>
          <w:b w:val="false"/>
          <w:color w:val="000000"/>
          <w:sz w:val="20"/>
        </w:rPr>
        <w:t xml:space="preserve">which requires the accounting for equity investments without a readily determinable fair value, which are not accounted for under the equity method of accounting, be measured at their cost, less impairment, if any, and adjusted for observable price changes arising from orderly transactions in the same or similar investment from the same issuer. These investments are carried on the consolidated balance sheets within other assets. Any unrealized gains or losses or impairments will be reported within earnings in our consolidated statements of operations and comprehensive loss. We assess whether an other-than-temporary impairment loss on an investment has occurred due to declines in fair value or other market conditions. Refer to Note 4, </w:t>
      </w:r>
      <w:r>
        <w:rPr>
          <w:rFonts w:ascii="Times New Roman;serif" w:hAnsi="Times New Roman;serif"/>
          <w:b w:val="false"/>
          <w:i/>
          <w:color w:val="000000"/>
          <w:sz w:val="20"/>
        </w:rPr>
        <w:t xml:space="preserve">Balance Sheet Components, </w:t>
      </w:r>
      <w:r>
        <w:rPr>
          <w:rFonts w:ascii="Times New Roman;serif" w:hAnsi="Times New Roman;serif"/>
          <w:b w:val="false"/>
          <w:color w:val="000000"/>
          <w:sz w:val="20"/>
        </w:rPr>
        <w:t>for additional information.</w:t>
      </w:r>
    </w:p>
    <w:p>
      <w:pPr>
        <w:pStyle w:val="TextBody"/>
        <w:bidi w:val="0"/>
        <w:spacing w:lineRule="auto" w:line="288" w:before="200" w:after="283"/>
        <w:jc w:val="both"/>
        <w:rPr/>
      </w:pPr>
      <w:r>
        <w:rPr>
          <w:rFonts w:ascii="Times New Roman;serif" w:hAnsi="Times New Roman;serif"/>
          <w:b/>
          <w:i/>
          <w:color w:val="000000"/>
          <w:sz w:val="20"/>
        </w:rPr>
        <w:t>Property and Equipment - Net</w:t>
      </w:r>
      <w:r>
        <w:rPr>
          <w:color w:val="000000"/>
        </w:rPr>
        <w:t>—</w:t>
      </w:r>
      <w:r>
        <w:rPr>
          <w:rFonts w:ascii="Times New Roman;serif" w:hAnsi="Times New Roman;serif"/>
          <w:b w:val="false"/>
          <w:color w:val="000000"/>
          <w:sz w:val="20"/>
        </w:rPr>
        <w:t>Property and equipment - net is stated at cost less accumulated depreciation. Depreciation and amortization expense is computed using the straight-line method over the estimated useful lives of the respective assets, which are generally three to five years. Leasehold improvements are amortized over the shorter of estimated useful lives of the assets or the term of the associated lease. Expenditures for repairs and maintenance are expensed as incurred. Upon disposal, the cost and related accumulated depreciation are removed from the accounts, and the resulting gain or loss is recognized as other income or expense in the consolidated statements of operations and comprehensive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Useful lives by major asset classes are below:</w:t>
      </w:r>
    </w:p>
    <w:tbl>
      <w:tblPr>
        <w:tblW w:w="6280" w:type="dxa"/>
        <w:jc w:val="left"/>
        <w:tblInd w:w="0" w:type="dxa"/>
        <w:tblLayout w:type="fixed"/>
        <w:tblCellMar>
          <w:top w:w="28" w:type="dxa"/>
          <w:left w:w="28" w:type="dxa"/>
          <w:bottom w:w="28" w:type="dxa"/>
          <w:right w:w="28" w:type="dxa"/>
        </w:tblCellMar>
      </w:tblPr>
      <w:tblGrid>
        <w:gridCol w:w="817"/>
        <w:gridCol w:w="720"/>
        <w:gridCol w:w="727"/>
        <w:gridCol w:w="109"/>
        <w:gridCol w:w="109"/>
        <w:gridCol w:w="109"/>
        <w:gridCol w:w="1078"/>
        <w:gridCol w:w="1078"/>
        <w:gridCol w:w="1533"/>
      </w:tblGrid>
      <w:tr>
        <w:trPr/>
        <w:tc>
          <w:tcPr>
            <w:tcW w:w="8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Depreciation Period</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r>
    </w:tbl>
    <w:p>
      <w:pPr>
        <w:pStyle w:val="TextBody"/>
        <w:bidi w:val="0"/>
        <w:spacing w:lineRule="auto" w:line="288" w:before="200" w:after="283"/>
        <w:jc w:val="both"/>
        <w:rPr/>
      </w:pPr>
      <w:r>
        <w:rPr>
          <w:rFonts w:ascii="Times New Roman;serif" w:hAnsi="Times New Roman;serif"/>
          <w:b/>
          <w:i/>
          <w:color w:val="000000"/>
          <w:sz w:val="20"/>
        </w:rPr>
        <w:t>Capitalized Internal-Use Software</w:t>
      </w:r>
      <w:r>
        <w:rPr>
          <w:color w:val="000000"/>
        </w:rPr>
        <w:t>—</w:t>
      </w:r>
      <w:r>
        <w:rPr>
          <w:rFonts w:ascii="Times New Roman;serif" w:hAnsi="Times New Roman;serif"/>
          <w:b w:val="false"/>
          <w:color w:val="000000"/>
          <w:sz w:val="20"/>
        </w:rPr>
        <w:t>Costs of software developed for internal-use is accounted for in accordance with Financial Accounting Standards Board (“FASB”) Accounting Standards Codification (“ASC”) Subtopic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Capitalization of costs begins when the preliminary project stage is completed, management authorizes and commits to funding the computer software project, it is probable that the project will be completed, and the software will be used to perform the function intended. Such costs are capitalized in the period incurred. Capitalization ceases at the point when the project is substantially complete and ready for its intended use. The capitalized costs are amortized using the straight-line method over the estimated useful lives of the software, which is generally three years. For the years ended December 31, 2025 and 2024, we capitalized $7.0 million and $4.2 million, respectively, in internal-use software within property and equipment in the consolidated balance sheets.</w:t>
      </w:r>
    </w:p>
    <w:p>
      <w:pPr>
        <w:pStyle w:val="TextBody"/>
        <w:bidi w:val="0"/>
        <w:spacing w:lineRule="auto" w:line="288" w:before="200" w:after="283"/>
        <w:jc w:val="both"/>
        <w:rPr/>
      </w:pPr>
      <w:r>
        <w:rPr>
          <w:rFonts w:ascii="Times New Roman;serif" w:hAnsi="Times New Roman;serif"/>
          <w:b/>
          <w:i/>
          <w:color w:val="000000"/>
          <w:sz w:val="20"/>
        </w:rPr>
        <w:t>Leases</w:t>
      </w:r>
      <w:r>
        <w:rPr>
          <w:color w:val="000000"/>
        </w:rPr>
        <w:t>—</w:t>
      </w:r>
      <w:r>
        <w:rPr>
          <w:rFonts w:ascii="Times New Roman;serif" w:hAnsi="Times New Roman;serif"/>
          <w:b w:val="false"/>
          <w:color w:val="000000"/>
          <w:sz w:val="20"/>
        </w:rPr>
        <w:t xml:space="preserve">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Right-of-use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represent our right to use an underlying asset for the lease term, and lease liabilities represent our obligation to make payments arising from the lease. Operating lease right-of-use assets and liabilities are recognized at the lease commencement date based on the present value of lease payments over the lease term. Lease payments consist primarily of the fixed payments under the arrangement, less any lease incentives. Variable lease payments are expensed as incurred and include certain non-lease components, such as maintenance and other services provided by the lessor to the extent the charges are variable. Lease expense for lease payments is recognized on a straight-line basis over the lease term. For any right-of-use assets that are impaired, the lease expense is no longer recognized on a straight-line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an estimate of our incremental borrowing rate (“IBR”) based on the information available at the lease commencement date in determining the present value of lease payments, unless the implicit rate is readily determinable. The IBR is the company specific rate of interest that would have to be paid by us to borrow on a collateralized basis over a similar term of the lease in a similar economic environment as of the date of the lease. In determining the appropriate IBR, we consider various factors, including, but not limited to, the lease term, our credit rating, U.S Treasury rates, and the currency in which the arrangement is denominated. Our lease terms may include options to extend or terminate the lease when it is reasonably certain that we will exercise that option.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separate non-lease components from lease components for our leases. In addition, we do not recognize right-of-use assets and lease liabilities for short-term leases, which have a lease term of 12 months or less and do not include an option to purchase the underlying asset that we are reasonably certain to exercise. Lease cost for short-term leases is recognized on a straight-line basis over the lease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impairment to the associated right-of-use assets is recognized in the period the impairment occurs and is recorded in the consolidated statements of operations and comprehensive loss as impairment expense.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leases are included in operating lease right-of-use assets, current lease liabilities, and noncurrent lease liabilities on the consolidated balance sheets. We did not have any finance leases for any periods presented.</w:t>
      </w:r>
    </w:p>
    <w:p>
      <w:pPr>
        <w:pStyle w:val="TextBody"/>
        <w:bidi w:val="0"/>
        <w:spacing w:lineRule="auto" w:line="288" w:before="200" w:after="283"/>
        <w:jc w:val="both"/>
        <w:rPr/>
      </w:pPr>
      <w:r>
        <w:rPr>
          <w:rFonts w:ascii="Times New Roman;serif" w:hAnsi="Times New Roman;serif"/>
          <w:b/>
          <w:i/>
          <w:color w:val="000000"/>
          <w:sz w:val="20"/>
        </w:rPr>
        <w:t>Impairment of Long-Lived Assets</w:t>
      </w:r>
      <w:r>
        <w:rPr>
          <w:color w:val="000000"/>
        </w:rPr>
        <w:t>—</w:t>
      </w:r>
      <w:r>
        <w:rPr>
          <w:rFonts w:ascii="Times New Roman;serif" w:hAnsi="Times New Roman;serif"/>
          <w:b w:val="false"/>
          <w:color w:val="000000"/>
          <w:sz w:val="20"/>
        </w:rPr>
        <w:t>We evaluate the recoverability of property and equipment, operating lease right-of-use assets, and identifiable intangible assets with definite lives (“long-lived assets) whenever events or changes in circumstances indicate that the carrying amount of an asset may not be recoverable. When a triggering event occurs, a test for recoverability is performed, comparing projected undiscounted future cash flows to the carrying value of the asset group. If the carrying amount of an asset group exceeds its estimated undiscounted net future cash flows, an impairment charge is recognized for the amount by which the carrying amount of the asset group exceeds its fair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are reviewed for recoverability at the lowest level in which there are identifiable cash flows (asset group), which we determined are at the individual store level. The carrying amount of a store asset group includes stores’ operating lease right-of-use assets and property and equipment, which consists primarily of leasehold improvements. We evaluate corporate assets or other long-lived assets that are not store-specific at the consolidated level.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determined that triggering events, including a current-period and history of operating cash flow losses, occurred during 2025 and required an impairment review of our long-lived assets. Based on the results of our undiscounted cash flow analysis, we identified certain asset groups in which the projected future undiscounted net cash flows are less than the carrying value of an asset group. For these asset groups, the assets were written down to their estimated fair values. Based on the results of our impairment analysis, we recorded non-cash impairment charges of $3.5 million, recognized as impairment expense in our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uncertainty in the projected undiscounted future cash flows used in our impairment review analysis, which requires the use of estimates and assumptions. If our actual performance does not achieve our projections, or if the assumptions used change in the future, we may be required to recognize impairment charges in future periods, and any such charges could be material. </w:t>
      </w:r>
    </w:p>
    <w:p>
      <w:pPr>
        <w:pStyle w:val="TextBody"/>
        <w:bidi w:val="0"/>
        <w:spacing w:lineRule="auto" w:line="288" w:before="200" w:after="283"/>
        <w:jc w:val="both"/>
        <w:rPr/>
      </w:pPr>
      <w:r>
        <w:rPr>
          <w:rFonts w:ascii="Times New Roman;serif" w:hAnsi="Times New Roman;serif"/>
          <w:b/>
          <w:i/>
          <w:color w:val="000000"/>
          <w:sz w:val="20"/>
        </w:rPr>
        <w:t>Restructuring</w:t>
      </w:r>
      <w:r>
        <w:rPr>
          <w:color w:val="000000"/>
        </w:rPr>
        <w:t>—</w:t>
      </w:r>
      <w:r>
        <w:rPr>
          <w:rFonts w:ascii="Times New Roman;serif" w:hAnsi="Times New Roman;serif"/>
          <w:b w:val="false"/>
          <w:color w:val="000000"/>
          <w:sz w:val="20"/>
        </w:rPr>
        <w:t xml:space="preserve">In the first quarter of 2023, we announced a strategic transformation plan designed to improve our revenue trend, as well as improve capital efficiency and drive profitability in the business. As part of this effort, we incurred professional fees, severance and other employee-related benefits, and other related charges which are recognized within restructuring expense in the consolidated statements of operations and comprehensive loss. This plan was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2024. In the fourth quarter of 2025, we took strategic actions, including a reduction in force, and incurred severance and other employee-related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our restructuring charges, which are included within accrued expenses and other current liabilities in the consolidated balance sheets:</w:t>
      </w:r>
    </w:p>
    <w:tbl>
      <w:tblPr>
        <w:tblW w:w="9881" w:type="dxa"/>
        <w:jc w:val="left"/>
        <w:tblInd w:w="0" w:type="dxa"/>
        <w:tblLayout w:type="fixed"/>
        <w:tblCellMar>
          <w:top w:w="28" w:type="dxa"/>
          <w:left w:w="28" w:type="dxa"/>
          <w:bottom w:w="28" w:type="dxa"/>
          <w:right w:w="28" w:type="dxa"/>
        </w:tblCellMar>
      </w:tblPr>
      <w:tblGrid>
        <w:gridCol w:w="1022"/>
        <w:gridCol w:w="897"/>
        <w:gridCol w:w="900"/>
        <w:gridCol w:w="933"/>
        <w:gridCol w:w="1795"/>
        <w:gridCol w:w="482"/>
        <w:gridCol w:w="109"/>
        <w:gridCol w:w="109"/>
        <w:gridCol w:w="109"/>
        <w:gridCol w:w="894"/>
        <w:gridCol w:w="1975"/>
        <w:gridCol w:w="656"/>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fees and other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employee-related benefits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i/>
          <w:color w:val="000000"/>
          <w:sz w:val="20"/>
        </w:rPr>
        <w:t>Business Combinations and Dispositions</w:t>
      </w:r>
      <w:r>
        <w:rPr>
          <w:color w:val="000000"/>
        </w:rPr>
        <w:t>—</w:t>
      </w:r>
      <w:r>
        <w:rPr>
          <w:rFonts w:ascii="Times New Roman;serif" w:hAnsi="Times New Roman;serif"/>
          <w:b w:val="false"/>
          <w:color w:val="000000"/>
          <w:sz w:val="20"/>
        </w:rPr>
        <w:t xml:space="preserve">In 2024, we entered into agreements appointing exclusive distributors in South Korea, Canada, Australasia, Japan, and China. As part of the appointments, we entered into an asset purchase agreement with each distributor for the sale of certain net assets used in connection with the operations of our businesses in the respective territories. Refer to Note 3, </w:t>
      </w:r>
      <w:r>
        <w:rPr>
          <w:rFonts w:ascii="Times New Roman;serif" w:hAnsi="Times New Roman;serif"/>
          <w:b w:val="false"/>
          <w:i/>
          <w:color w:val="000000"/>
          <w:sz w:val="20"/>
        </w:rPr>
        <w:t>Business Combinations and Dispositions</w:t>
      </w:r>
      <w:r>
        <w:rPr>
          <w:rFonts w:ascii="Times New Roman;serif" w:hAnsi="Times New Roman;serif"/>
          <w:b w:val="false"/>
          <w:color w:val="000000"/>
          <w:sz w:val="20"/>
        </w:rPr>
        <w:t>, for further details.</w:t>
      </w:r>
    </w:p>
    <w:p>
      <w:pPr>
        <w:pStyle w:val="TextBody"/>
        <w:bidi w:val="0"/>
        <w:spacing w:lineRule="auto" w:line="288" w:before="200" w:after="283"/>
        <w:jc w:val="both"/>
        <w:rPr/>
      </w:pPr>
      <w:r>
        <w:rPr>
          <w:rFonts w:ascii="Times New Roman;serif" w:hAnsi="Times New Roman;serif"/>
          <w:b/>
          <w:i/>
          <w:color w:val="000000"/>
          <w:sz w:val="20"/>
        </w:rPr>
        <w:t>Revenue Recognition</w:t>
      </w:r>
      <w:r>
        <w:rPr>
          <w:color w:val="000000"/>
        </w:rPr>
        <w:t>—</w:t>
      </w:r>
      <w:r>
        <w:rPr>
          <w:rFonts w:ascii="Times New Roman;serif" w:hAnsi="Times New Roman;serif"/>
          <w:b w:val="false"/>
          <w:color w:val="000000"/>
          <w:sz w:val="20"/>
        </w:rPr>
        <w:t xml:space="preserve">Our primary source of revenue is from sales of shoes and apparel products. We sell products directly through our own digital channels (including our websites, our discontinued mobile app, and marketplace platforms), our leased retail stores, and third-party retailers and distributors.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transactions associated with the sale of our inventory comprise a single performance obligation which consists of the sale of products to customers through our direct to consumer or third-party channels. Payment is due either at the time of purchase or within a timeframe specified in the contract, without significant financing components. We satisfy the performance obligation and record revenues when transfer of control to the customer has occurred, based on the terms of sale. A customer is considered to have control once they are able to direct the use and receive substantially all of the benefits of the product. Control is transferred to third-party customers upon shipment. Control transfers to retail store customers at the time of sale (receipt) and to digital customers upon shipment. This transfer of control represents a single deliverable and revenue is recognized at a point in time. All revenue is reported net of sales taxes collected from customers on behalf of taxing authorities and variable consideration, including returns and discounts. We account for shipping and handling fees charged to customers as revenue and we account for shipping and handling costs as fulfillment costs. We recognize the revenue and costs associated with shipping and handling at the time the products are shipped to the customer.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payment may be collected from the customer prior to recognizing revenue and such, cash receipts are included in deferred revenue in the consolidated balance sheets until control has transferred to the customer. For the years ended December 31, 2025 and 2024, we recognized $3.7 million and $3.4 million, respectively, of revenue that was deferred as of December 31, 2024 and 2023. As of December 31, 2025 and 2024, we had $0.3 million and $0.3 million, respectively, in cash collections of purchases via our digital channel which had not yet shipped. The deferred revenue balance of $1.7 million at December 31, 2025 is expected to be recognized over the next 12 months.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offer non-expiring gift cards and merchandise credits to our customers. Proceeds from the sale of gift cards are initially deferred and recognized within deferred revenue on the consolidated balance sheets, and are recognized as revenue when the product is received by the customer after the gift card has been tendered for payment. As of December 31, 2025 and 2024, we had $1.4 million and $3.6 million in gift card liabilities included within our deferred revenue balance on the consolidated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sales policy allows customers to return merchandise for any reason within 30 days of receipt for an exchange or refund. We record a reserve for estimated product returns, based upon historical returns, impact of seasonality, current economic and market trends, current business practices, and changes in customer demand and acceptance of our products, in each reporting period as an offsetting decrease of net revenue, with an increase to our sales-refund reserve in accrued expenses. We have also recorded a related inventory returns receivable, less expected costs to recover, in prepaid expenses and other current assets with an offsetting decrease to cost of revenue as of December 31, 2025 and 2024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pPr>
      <w:r>
        <w:rPr>
          <w:rFonts w:ascii="Times New Roman;serif" w:hAnsi="Times New Roman;serif"/>
          <w:b/>
          <w:i/>
          <w:color w:val="000000"/>
          <w:sz w:val="20"/>
        </w:rPr>
        <w:t>Cost of Revenue</w:t>
      </w:r>
      <w:r>
        <w:rPr>
          <w:color w:val="000000"/>
        </w:rPr>
        <w:t>—</w:t>
      </w:r>
      <w:r>
        <w:rPr>
          <w:rFonts w:ascii="Times New Roman;serif" w:hAnsi="Times New Roman;serif"/>
          <w:b w:val="false"/>
          <w:color w:val="000000"/>
          <w:sz w:val="20"/>
        </w:rPr>
        <w:t>Cost of revenue primarily consists of the cost of purchased inventory, inbound and outbound shipping costs, import duties, distribution center and related equipment costs, and inventory write-offs and write-downs. Shipping costs to receive products from our suppliers are included in the cost of inventory and recognized as cost of revenue upon sale of products to our customers.</w:t>
      </w:r>
    </w:p>
    <w:p>
      <w:pPr>
        <w:pStyle w:val="TextBody"/>
        <w:bidi w:val="0"/>
        <w:spacing w:lineRule="auto" w:line="288" w:before="200" w:after="283"/>
        <w:jc w:val="both"/>
        <w:rPr/>
      </w:pPr>
      <w:r>
        <w:rPr>
          <w:rFonts w:ascii="Times New Roman;serif" w:hAnsi="Times New Roman;serif"/>
          <w:b/>
          <w:i/>
          <w:color w:val="000000"/>
          <w:sz w:val="20"/>
        </w:rPr>
        <w:t>Selling, General, and Administrative Expense</w:t>
      </w:r>
      <w:r>
        <w:rPr>
          <w:color w:val="000000"/>
        </w:rPr>
        <w:t>—</w:t>
      </w:r>
      <w:r>
        <w:rPr>
          <w:rFonts w:ascii="Times New Roman;serif" w:hAnsi="Times New Roman;serif"/>
          <w:b w:val="false"/>
          <w:color w:val="000000"/>
          <w:sz w:val="20"/>
        </w:rPr>
        <w:t>Selling, general, and administrative expense consists of personnel and related costs including salaries, benefits, bonuses, and stock-based compensation for our corporate and retail employees, third-party professional fees, information technology, payment processing fees, fixed and variable lease costs for corporate offices and retail stores, depreciation and amortization, software costs, legal fees, and other administrative costs associated with operating the business.</w:t>
      </w:r>
    </w:p>
    <w:p>
      <w:pPr>
        <w:pStyle w:val="TextBody"/>
        <w:bidi w:val="0"/>
        <w:spacing w:lineRule="auto" w:line="288" w:before="200" w:after="283"/>
        <w:jc w:val="both"/>
        <w:rPr/>
      </w:pPr>
      <w:r>
        <w:rPr>
          <w:rFonts w:ascii="Times New Roman;serif" w:hAnsi="Times New Roman;serif"/>
          <w:b/>
          <w:i/>
          <w:color w:val="000000"/>
          <w:sz w:val="20"/>
        </w:rPr>
        <w:t>Marketing Expense</w:t>
      </w:r>
      <w:r>
        <w:rPr>
          <w:color w:val="000000"/>
        </w:rPr>
        <w:t>—</w:t>
      </w:r>
      <w:r>
        <w:rPr>
          <w:rFonts w:ascii="Times New Roman;serif" w:hAnsi="Times New Roman;serif"/>
          <w:b w:val="false"/>
          <w:color w:val="000000"/>
          <w:sz w:val="20"/>
        </w:rPr>
        <w:t>Marketing expense consists of advertising costs to market our products and is expensed as incurred.</w:t>
      </w:r>
    </w:p>
    <w:p>
      <w:pPr>
        <w:pStyle w:val="TextBody"/>
        <w:bidi w:val="0"/>
        <w:spacing w:lineRule="auto" w:line="288" w:before="200" w:after="283"/>
        <w:jc w:val="both"/>
        <w:rPr/>
      </w:pPr>
      <w:r>
        <w:rPr>
          <w:rFonts w:ascii="Times New Roman;serif" w:hAnsi="Times New Roman;serif"/>
          <w:b/>
          <w:i/>
          <w:color w:val="000000"/>
          <w:sz w:val="20"/>
        </w:rPr>
        <w:t>Stock-Based Compensation</w:t>
      </w:r>
      <w:r>
        <w:rPr>
          <w:color w:val="000000"/>
        </w:rPr>
        <w:t>—</w:t>
      </w:r>
      <w:r>
        <w:rPr>
          <w:rFonts w:ascii="Times New Roman;serif" w:hAnsi="Times New Roman;serif"/>
          <w:b w:val="false"/>
          <w:color w:val="000000"/>
          <w:sz w:val="20"/>
        </w:rPr>
        <w:t>Stock-based compensation expense related to stock awards, including stock options, restricted stock units (“RSUs”), stock awards with market-based or performance-based vesting conditions, and stock purchase rights granted under the 2021 Employee Stock Purchase Plan (“ESPP Rights”), is recognized based on the estimated fair value of the awards on the date of the grant. The fair value of each stock option award and ESPP Rights is valued on the grant date using the Black-Scholes option pricing model. The fair value of each RSU is based on the estimated fair value of our common stock on the date of grant. The fair of stock awards with market-based or performance-based vesting conditions is based on the estimated fair value using equity valuation models, such as the Monte Carlo simulation, using assumptions and judgments made by management and third-party valuation specialists. Stock-based compensation is generally recognized on a straight-line basis over the requisite service period, which is generally the vesting period of the respective award. Forfeitures are accounted for in the period in which they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w:t>
      </w:r>
    </w:p>
    <w:p>
      <w:pPr>
        <w:pStyle w:val="TextBody"/>
        <w:bidi w:val="0"/>
        <w:spacing w:lineRule="auto" w:line="288" w:before="200" w:after="283"/>
        <w:jc w:val="both"/>
        <w:rPr/>
      </w:pPr>
      <w:r>
        <w:rPr>
          <w:rFonts w:ascii="Times New Roman;serif" w:hAnsi="Times New Roman;serif"/>
          <w:b/>
          <w:i/>
          <w:color w:val="000000"/>
          <w:sz w:val="20"/>
        </w:rPr>
        <w:t>Income Taxes</w:t>
      </w:r>
      <w:r>
        <w:rPr>
          <w:color w:val="000000"/>
        </w:rPr>
        <w:t>—</w:t>
      </w:r>
      <w:r>
        <w:rPr>
          <w:rFonts w:ascii="Times New Roman;serif" w:hAnsi="Times New Roman;serif"/>
          <w:b w:val="false"/>
          <w:color w:val="000000"/>
          <w:sz w:val="20"/>
        </w:rPr>
        <w:t>We record deferred tax assets and liabilities based on differences between the book and tax bases of assets and liabilities. The deferred tax assets and liabilities are calculated by applying enacted tax rates and laws to taxable years in which such differences are expected to reverse. We determine whether a valuation allowance is necessary in accordance with the provisions of the FASB ASC 740, </w:t>
      </w:r>
      <w:r>
        <w:rPr>
          <w:rFonts w:ascii="Times New Roman;serif" w:hAnsi="Times New Roman;serif"/>
          <w:b w:val="false"/>
          <w:i/>
          <w:color w:val="000000"/>
          <w:sz w:val="20"/>
        </w:rPr>
        <w:t>Income Taxes</w:t>
      </w:r>
      <w:r>
        <w:rPr>
          <w:rFonts w:ascii="Times New Roman;serif" w:hAnsi="Times New Roman;serif"/>
          <w:b w:val="false"/>
          <w:color w:val="000000"/>
          <w:sz w:val="20"/>
        </w:rPr>
        <w:t>. We recognize the benefits from our deferred tax assets only when an analysis of both positive and negative factors indicate that it is more likely than not that the benefits will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estimate of the potential outcome of any uncertain tax position is subject to our assessment of relevant risks, facts, and circumstances existing at that time. Obtaining new information, settlements with tax authorities and the expiration of statutes of limitations may cause adjustments in income tax expense in the period this occurs.</w:t>
      </w:r>
    </w:p>
    <w:p>
      <w:pPr>
        <w:pStyle w:val="TextBody"/>
        <w:bidi w:val="0"/>
        <w:spacing w:lineRule="auto" w:line="288" w:before="200" w:after="283"/>
        <w:jc w:val="both"/>
        <w:rPr/>
      </w:pPr>
      <w:r>
        <w:rPr>
          <w:rFonts w:ascii="Times New Roman;serif" w:hAnsi="Times New Roman;serif"/>
          <w:b/>
          <w:i/>
          <w:color w:val="000000"/>
          <w:sz w:val="20"/>
        </w:rPr>
        <w:t>Fair Value Measurements</w:t>
      </w:r>
      <w:r>
        <w:rPr>
          <w:color w:val="000000"/>
        </w:rPr>
        <w:t>—</w:t>
      </w:r>
      <w:r>
        <w:rPr>
          <w:rFonts w:ascii="Times New Roman;serif" w:hAnsi="Times New Roman;serif"/>
          <w:b w:val="false"/>
          <w:color w:val="000000"/>
          <w:sz w:val="20"/>
        </w:rPr>
        <w:t>FASB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defines fair value, establishes a framework for measuring fair value under GAAP, and enhances disclosures about fair value measurements. It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value hierarchy, which prioritizes the inputs used in measuring fair value as follows:</w:t>
      </w:r>
    </w:p>
    <w:p>
      <w:pPr>
        <w:pStyle w:val="TextBody"/>
        <w:bidi w:val="0"/>
        <w:spacing w:lineRule="auto" w:line="288" w:before="200" w:after="283"/>
        <w:jc w:val="both"/>
        <w:rPr/>
      </w:pP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Observable inputs, such as quoted prices in active markets</w:t>
      </w:r>
    </w:p>
    <w:p>
      <w:pPr>
        <w:pStyle w:val="TextBody"/>
        <w:bidi w:val="0"/>
        <w:spacing w:lineRule="auto" w:line="288" w:before="200" w:after="283"/>
        <w:jc w:val="both"/>
        <w:rPr/>
      </w:pP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Inputs other than the quoted prices in active markets that are observable either directly or indirectly</w:t>
      </w:r>
    </w:p>
    <w:p>
      <w:pPr>
        <w:pStyle w:val="TextBody"/>
        <w:bidi w:val="0"/>
        <w:spacing w:lineRule="auto" w:line="288" w:before="200" w:after="283"/>
        <w:jc w:val="both"/>
        <w:rPr/>
      </w:pP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Unobservable inputs in which there is little or no market data, which requires us to develop our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pPr>
      <w:r>
        <w:rPr>
          <w:rFonts w:ascii="Times New Roman;serif" w:hAnsi="Times New Roman;serif"/>
          <w:b w:val="false"/>
          <w:color w:val="000000"/>
          <w:sz w:val="20"/>
        </w:rPr>
        <w:t xml:space="preserve">This hierarchy requires us to use observable market data, when available, and to minimize the use of unobservable inputs when determining fair value. We record cash and cash equivalents, accounts receivable, accounts payable, and accrued expenses at cost. The carrying values of these instruments approximate their fair value due to their short‐term maturities. We hold certain assets that are required to be measured at fair value on both a recurring and non-recurring basis, which are outlined in Note 5,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i/>
          <w:color w:val="000000"/>
          <w:sz w:val="20"/>
        </w:rPr>
        <w:t>Emerging Growth Company</w:t>
      </w:r>
      <w:r>
        <w:rPr>
          <w:color w:val="000000"/>
        </w:rPr>
        <w:t>—</w:t>
      </w:r>
      <w:r>
        <w:rPr>
          <w:rFonts w:ascii="Times New Roman;serif" w:hAnsi="Times New Roman;serif"/>
          <w:b w:val="false"/>
          <w:color w:val="000000"/>
          <w:sz w:val="20"/>
        </w:rPr>
        <w:t>As an “emerging growth company,” the Jumpstart Our Business Startups Act, or the JOBS Act, allows us to delay adoption of new or revised accounting pronouncements applicable to public companies until such pronouncements are made applicable to private companies. For certain pronouncements, we have elected to use the adoption dates applicable to private companies. As a result, our financial statements may not be comparable to the financial statements of issuers who are required to comply with the effective date for new or revised accounting standards that are applicable to public companies.</w:t>
      </w:r>
    </w:p>
    <w:p>
      <w:pPr>
        <w:pStyle w:val="TextBody"/>
        <w:bidi w:val="0"/>
        <w:spacing w:lineRule="auto" w:line="288" w:before="200" w:after="283"/>
        <w:jc w:val="both"/>
        <w:rPr/>
      </w:pPr>
      <w:r>
        <w:rPr>
          <w:rFonts w:ascii="Times New Roman;serif" w:hAnsi="Times New Roman;serif"/>
          <w:b/>
          <w:i/>
          <w:color w:val="000000"/>
          <w:sz w:val="20"/>
        </w:rPr>
        <w:t>Smaller Reporting Company</w:t>
      </w:r>
      <w:r>
        <w:rPr>
          <w:color w:val="000000"/>
        </w:rPr>
        <w:t>—</w:t>
      </w:r>
      <w:r>
        <w:rPr>
          <w:rFonts w:ascii="Times New Roman;serif" w:hAnsi="Times New Roman;serif"/>
          <w:b w:val="false"/>
          <w:color w:val="000000"/>
          <w:sz w:val="20"/>
        </w:rPr>
        <w:t>We are currently a “smaller reporting company,” as defined by Rule 12b-2 of the Exchange Act and therefore qualify for reduced disclosure requirements for smaller reporting companies.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2020, the FASB issued ASU No. 2020-06, Accounting for Convertible Instruments and Contracts in an Entity's Own Equity, which simplifies the accounting for certain convertible instruments, amends the guidance on derivative scope exceptions for contracts in an entity's own equity, and modifies the guidance on diluted earnings per share calculations as a result of these changes. The guidance is effective for fiscal years beginning after December 15, 2023, including interim periods within those fiscal years. The adoption of the guidance in the first quarter of 2024 did not have a material impact on our consolidated financial statements and related disclosures.</w:t>
      </w:r>
    </w:p>
    <w:p>
      <w:pPr>
        <w:pStyle w:val="TextBody"/>
        <w:bidi w:val="0"/>
        <w:spacing w:lineRule="auto" w:line="288" w:before="200" w:after="283"/>
        <w:jc w:val="both"/>
        <w:rPr/>
      </w:pPr>
      <w:r>
        <w:rPr>
          <w:rFonts w:ascii="Times New Roman;serif" w:hAnsi="Times New Roman;serif"/>
          <w:b w:val="false"/>
          <w:color w:val="000000"/>
          <w:sz w:val="20"/>
        </w:rPr>
        <w:t xml:space="preserve">In March 2023, the FASB issued ASU No. 2023-01, Leases (Topic 842) - </w:t>
      </w:r>
      <w:r>
        <w:rPr>
          <w:rFonts w:ascii="Times New Roman;serif" w:hAnsi="Times New Roman;serif"/>
          <w:b w:val="false"/>
          <w:i/>
          <w:color w:val="000000"/>
          <w:sz w:val="20"/>
        </w:rPr>
        <w:t>Common Control Arrangements</w:t>
      </w:r>
      <w:r>
        <w:rPr>
          <w:rFonts w:ascii="Times New Roman;serif" w:hAnsi="Times New Roman;serif"/>
          <w:b w:val="false"/>
          <w:color w:val="000000"/>
          <w:sz w:val="20"/>
        </w:rPr>
        <w:t>. This ASU addresses issues related to accounting for leases under common control arrangements. The standard will include an amendment to Topic 842 for all entities with leasehold improvements in common control arrangements to amortize leasehold improvements that it owns over the improvements’ useful life to the common control group if certain criteria are met. The amendments in this update are effective for reporting periods beginning after December 15, 2023, with early adoption permitted. The adoption of the guidance in the first quarter of 2024 did not have a material impact on our consolidated financial statements and related disclosures.</w:t>
      </w:r>
    </w:p>
    <w:p>
      <w:pPr>
        <w:pStyle w:val="TextBody"/>
        <w:bidi w:val="0"/>
        <w:spacing w:lineRule="auto" w:line="288" w:before="200" w:after="283"/>
        <w:jc w:val="both"/>
        <w:rPr/>
      </w:pPr>
      <w:r>
        <w:rPr>
          <w:rFonts w:ascii="Times New Roman;serif" w:hAnsi="Times New Roman;serif"/>
          <w:b w:val="false"/>
          <w:color w:val="000000"/>
          <w:sz w:val="20"/>
        </w:rPr>
        <w:t>In November 2023, the FASB issued ASU No. 2023-07,</w:t>
      </w:r>
      <w:r>
        <w:rPr>
          <w:color w:val="000000"/>
        </w:rPr>
        <w:t xml:space="preserve">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which amended disclosure requirements for segment reporting. The amendments in this ASU improve reportable segment disclosure requirements, primarily through enhanced disclosures about significant segment expenses, amendments to enhance interim disclosure requirements and introduce additional details about the chief operating decision maker. These changes address certain investor concerns that disclosures over reportable segment expenses were limited. The amendments in this update are effective for annual reporting periods beginning after December 15, 2023 and interim periods within fiscal years beginning after December 15, 2024, with early adoption permitted. We adopted this during the year ended December 31, 2024. For further details refer to Note 8, </w:t>
      </w:r>
      <w:r>
        <w:rPr>
          <w:rFonts w:ascii="Times New Roman;serif" w:hAnsi="Times New Roman;serif"/>
          <w:b w:val="false"/>
          <w:i/>
          <w:color w:val="000000"/>
          <w:sz w:val="20"/>
        </w:rPr>
        <w:t>Segments and Geographic Information</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val="false"/>
          <w:color w:val="000000"/>
          <w:sz w:val="20"/>
        </w:rPr>
        <w:t>In December 2023, the FASB issued ASU No. 2023-09,</w:t>
      </w:r>
      <w:r>
        <w:rPr>
          <w:color w:val="000000"/>
        </w:rPr>
        <w:t xml:space="preserve"> </w:t>
      </w:r>
      <w:r>
        <w:rPr>
          <w:rFonts w:ascii="Times New Roman;serif" w:hAnsi="Times New Roman;serif"/>
          <w:b w:val="false"/>
          <w:i/>
          <w:color w:val="000000"/>
          <w:sz w:val="20"/>
        </w:rPr>
        <w:t>Income Tax (Topic 740): Improvements to Income Tax Disclosures</w:t>
      </w:r>
      <w:r>
        <w:rPr>
          <w:rFonts w:ascii="Times New Roman;serif" w:hAnsi="Times New Roman;serif"/>
          <w:b w:val="false"/>
          <w:color w:val="000000"/>
          <w:sz w:val="20"/>
        </w:rPr>
        <w:t xml:space="preserve">, which amended disclosure requirements for income taxes. The primary changes from this update relate to improvements over income tax disclosures related to the rate reconciliation, income taxes paid and other disclosures. These changes help investors better 1) understand on an entity’s’ exposure to potential changes in jurisdictional tax legislation and the ensuing risks and opportunities, (2) assess income tax information that affects cash flow forecasts and capital allocation decisions, and (3) identify potential opportunities to increase future cash flows. The amendments in this update are effective for annual reporting periods beginning after December 15, 2025, with early adoption permitted. We adopted this guidance as of the year ended December 31, 2025 on a prospective basis. For further details refer to Note 11, </w:t>
      </w:r>
      <w:r>
        <w:rPr>
          <w:rFonts w:ascii="Times New Roman;serif" w:hAnsi="Times New Roman;serif"/>
          <w:b w:val="false"/>
          <w:i/>
          <w:color w:val="000000"/>
          <w:sz w:val="20"/>
        </w:rPr>
        <w:t>Income Taxes.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In October 2023, the FASB issued ASU No.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xml:space="preserve">, which amends the disclosure or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pPr>
      <w:r>
        <w:rPr>
          <w:rFonts w:ascii="Times New Roman;serif" w:hAnsi="Times New Roman;serif"/>
          <w:b w:val="false"/>
          <w:color w:val="000000"/>
          <w:sz w:val="20"/>
        </w:rPr>
        <w:t xml:space="preserve">requirements of a variety of topics in the ASC in order to conform with certain SEC amendments in Release No. 33-10532, </w:t>
      </w:r>
      <w:r>
        <w:rPr>
          <w:rFonts w:ascii="Times New Roman;serif" w:hAnsi="Times New Roman;serif"/>
          <w:b w:val="false"/>
          <w:i/>
          <w:color w:val="000000"/>
          <w:sz w:val="20"/>
        </w:rPr>
        <w:t>Disclosure Update and Simplification</w:t>
      </w:r>
      <w:r>
        <w:rPr>
          <w:rFonts w:ascii="Times New Roman;serif" w:hAnsi="Times New Roman;serif"/>
          <w:b w:val="false"/>
          <w:color w:val="000000"/>
          <w:sz w:val="20"/>
        </w:rPr>
        <w:t>. The effective date for each amendment will be the date on which the SEC removes that related disclosure from its rules. However, if by June 30, 2027, the SEC has not removed the related disclosure from its regulations, the amendments will be removed from the Codification and not become effective. Early adoption is prohibited. We are evaluating the potential impact of this guidance on our consolidated financial statements and related disclosures.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This ASU improves financial reporting by requiring that public business entities disclose additional information about specific expense categories in the notes to financial statements at interim and annual reporting periods. This ASU will be effective for annual periods beginning after December 15, 2026, for interim reporting periods beginning after December 15, 2027, with early adoption is permitted. We are evaluating the potential impact of this guidance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The amendments in this Update remove all references to prescriptive and sequential software development stages, providing more consistent operability of software capitalization guidance. This ASU will be effective for annual periods beginning after December 15, 2027, for interim reporting periods beginning after December 15, 2027, with early adoption is permitted. We are evaluating the potential impact of this guidance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3.    Business Combinations and Dispositions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Dispositions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part of our strategic transformation plan announced in March 2023, we sold certain of our international businesses to unrelated third-parties. These sales did not qualify for accounting as discontinued operations under ASC 205, Presentation of Financial Statements. All gains or losses on the sale of businesses were recorded within net loss from the sale of businesses in the consolidated statement of operations and comprehensive loss for the years ended December 31, 2024. No such charges relating to these dispositions were incurred during the year ended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Japan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2024, we entered into an asset purchase agreement with an unrelated third party for the sale of certain net assets used in connection with the operation of our Japan subsidiary, Allbirds G.K. The net assets sold primarily included inventory and property and equipment related to our retail store leases, partially offset by sales return liabilities and gift card liabilities. As part of this transaction, we were total consideration of $0.9 million. Consideration received was more than the net book value of the transferred net assets of $0.8 million, resulting in an immaterial gain for the year ended December 31, 2024.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Australasia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June 26, 2024, we entered into an asset purchase agreement with an unrelated third party for the sale of certain net assets used in connection with the operation of our New Zealand subsidiary, Allbirds (New Zealand) Limited. The net assets sold primarily included inventory, partially offset by gift card liabilities. As part of this transaction, we were paid total consideration of $0.3 million. Consideration received was less than the net book value of the transferred net assets of $0.5 million, resulting in a loss of $0.2 million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China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we entered into an asset purchase agreement with an unrelated third party for the sale of certain net assets used in connection with the operation of our China subsidiary, Allbirds (Shanghai) Trading Co., LTD. The net assets sold primarily included inventory and property and equipment related to our retail store leases, partially offset by sales return liabilities and gift card liabilities. As part of this transaction, we were paid total consideration of $2.1 million. Consideration received was less than the net book value of the transferred net assets of $2.2 million, resulting in a loss of approximately $0.2 million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as of December 31, 2025 and 2024:</w:t>
      </w:r>
    </w:p>
    <w:tbl>
      <w:tblPr>
        <w:tblW w:w="6926" w:type="dxa"/>
        <w:jc w:val="left"/>
        <w:tblInd w:w="0" w:type="dxa"/>
        <w:tblLayout w:type="fixed"/>
        <w:tblCellMar>
          <w:top w:w="28" w:type="dxa"/>
          <w:left w:w="28" w:type="dxa"/>
          <w:bottom w:w="28" w:type="dxa"/>
          <w:right w:w="28" w:type="dxa"/>
        </w:tblCellMar>
      </w:tblPr>
      <w:tblGrid>
        <w:gridCol w:w="1583"/>
        <w:gridCol w:w="1388"/>
        <w:gridCol w:w="1394"/>
        <w:gridCol w:w="222"/>
        <w:gridCol w:w="759"/>
        <w:gridCol w:w="114"/>
        <w:gridCol w:w="109"/>
        <w:gridCol w:w="109"/>
        <w:gridCol w:w="109"/>
        <w:gridCol w:w="221"/>
        <w:gridCol w:w="757"/>
        <w:gridCol w:w="161"/>
      </w:tblGrid>
      <w:tr>
        <w:trPr/>
        <w:tc>
          <w:tcPr>
            <w:tcW w:w="1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to reduce inventories to net realizable value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Property and Equipment -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 December 31, 2025 and 2024:</w:t>
      </w:r>
    </w:p>
    <w:tbl>
      <w:tblPr>
        <w:tblW w:w="6671" w:type="dxa"/>
        <w:jc w:val="left"/>
        <w:tblInd w:w="0" w:type="dxa"/>
        <w:tblLayout w:type="fixed"/>
        <w:tblCellMar>
          <w:top w:w="28" w:type="dxa"/>
          <w:left w:w="28" w:type="dxa"/>
          <w:bottom w:w="28" w:type="dxa"/>
          <w:right w:w="28" w:type="dxa"/>
        </w:tblCellMar>
      </w:tblPr>
      <w:tblGrid>
        <w:gridCol w:w="1489"/>
        <w:gridCol w:w="1303"/>
        <w:gridCol w:w="1318"/>
        <w:gridCol w:w="222"/>
        <w:gridCol w:w="759"/>
        <w:gridCol w:w="114"/>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 gross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 net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years ended December 31, 2025 and 2024 was $8.0 million and $12.4 million, respectively, recognized as selling, general, and administrative expense in the consolidated statements of operations and comprehensive loss.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as of December 31, 2025 and 2024:</w:t>
      </w:r>
    </w:p>
    <w:tbl>
      <w:tblPr>
        <w:tblW w:w="6490" w:type="dxa"/>
        <w:jc w:val="left"/>
        <w:tblInd w:w="0" w:type="dxa"/>
        <w:tblLayout w:type="fixed"/>
        <w:tblCellMar>
          <w:top w:w="28" w:type="dxa"/>
          <w:left w:w="28" w:type="dxa"/>
          <w:bottom w:w="28" w:type="dxa"/>
          <w:right w:w="28" w:type="dxa"/>
        </w:tblCellMar>
      </w:tblPr>
      <w:tblGrid>
        <w:gridCol w:w="1425"/>
        <w:gridCol w:w="1251"/>
        <w:gridCol w:w="1253"/>
        <w:gridCol w:w="247"/>
        <w:gridCol w:w="721"/>
        <w:gridCol w:w="127"/>
        <w:gridCol w:w="109"/>
        <w:gridCol w:w="109"/>
        <w:gridCol w:w="109"/>
        <w:gridCol w:w="221"/>
        <w:gridCol w:w="757"/>
        <w:gridCol w:w="161"/>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returns receivable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offering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assets consisted of the following as of December 31, 2025 and 2024:</w:t>
      </w:r>
    </w:p>
    <w:tbl>
      <w:tblPr>
        <w:tblW w:w="5172" w:type="dxa"/>
        <w:jc w:val="left"/>
        <w:tblInd w:w="0" w:type="dxa"/>
        <w:tblLayout w:type="fixed"/>
        <w:tblCellMar>
          <w:top w:w="28" w:type="dxa"/>
          <w:left w:w="28" w:type="dxa"/>
          <w:bottom w:w="28" w:type="dxa"/>
          <w:right w:w="28" w:type="dxa"/>
        </w:tblCellMar>
      </w:tblPr>
      <w:tblGrid>
        <w:gridCol w:w="946"/>
        <w:gridCol w:w="831"/>
        <w:gridCol w:w="833"/>
        <w:gridCol w:w="247"/>
        <w:gridCol w:w="721"/>
        <w:gridCol w:w="127"/>
        <w:gridCol w:w="109"/>
        <w:gridCol w:w="109"/>
        <w:gridCol w:w="109"/>
        <w:gridCol w:w="245"/>
        <w:gridCol w:w="716"/>
        <w:gridCol w:w="179"/>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Investments in equity securities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20, 2020, we entered into an agreement to make a minority equity investment of $2.0 million in Natural Fiber Welding, Inc. in exchange for 201,207 shares of Series A-3 Preferred Stock. Our investment is carried at cost, less any impairment, plus or minus changes resulting from observable price changes in orderly transactions for an identical or similar investment of the same issuer. Throughout the year, we assess whether impairment indicators exist to trigger an impairment analysis. In the fourth quarter of 2024, we recorded an impairment charge of $1.8 million in the consolidated statements of operations and comprehensive loss for the year ended December 31, 2024. In the third quarter of 2025, we recorded an impairment charge of $0.2 million in the consolidated statements of operations and comprehensive loss for the year ended December 31,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December 31, 2025 and 2024:</w:t>
      </w:r>
    </w:p>
    <w:tbl>
      <w:tblPr>
        <w:tblW w:w="6820" w:type="dxa"/>
        <w:jc w:val="left"/>
        <w:tblInd w:w="0" w:type="dxa"/>
        <w:tblLayout w:type="fixed"/>
        <w:tblCellMar>
          <w:top w:w="28" w:type="dxa"/>
          <w:left w:w="28" w:type="dxa"/>
          <w:bottom w:w="28" w:type="dxa"/>
          <w:right w:w="28" w:type="dxa"/>
        </w:tblCellMar>
      </w:tblPr>
      <w:tblGrid>
        <w:gridCol w:w="1544"/>
        <w:gridCol w:w="1354"/>
        <w:gridCol w:w="1361"/>
        <w:gridCol w:w="222"/>
        <w:gridCol w:w="759"/>
        <w:gridCol w:w="114"/>
        <w:gridCol w:w="109"/>
        <w:gridCol w:w="109"/>
        <w:gridCol w:w="109"/>
        <w:gridCol w:w="221"/>
        <w:gridCol w:w="757"/>
        <w:gridCol w:w="161"/>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Sales-refund reserve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Items Measured at Fair Value on a recurring basis</w:t>
      </w:r>
    </w:p>
    <w:p>
      <w:pPr>
        <w:pStyle w:val="TextBody"/>
        <w:bidi w:val="0"/>
        <w:spacing w:lineRule="auto" w:line="288" w:before="200" w:after="283"/>
        <w:jc w:val="both"/>
        <w:rPr/>
      </w:pPr>
      <w:r>
        <w:rPr>
          <w:rFonts w:ascii="Times New Roman;serif" w:hAnsi="Times New Roman;serif"/>
          <w:b w:val="false"/>
          <w:i/>
          <w:color w:val="000000"/>
          <w:sz w:val="20"/>
        </w:rPr>
        <w:t>Money Market Funds</w:t>
      </w:r>
      <w:r>
        <w:rPr>
          <w:color w:val="000000"/>
        </w:rPr>
        <w:t>—</w:t>
      </w:r>
      <w:r>
        <w:rPr>
          <w:rFonts w:ascii="Times New Roman;serif" w:hAnsi="Times New Roman;serif"/>
          <w:b w:val="false"/>
          <w:color w:val="000000"/>
          <w:sz w:val="20"/>
        </w:rPr>
        <w:t>We previously held cash in a U.S. treasury securities money market fund. The funds are classified as cash and cash equivalents on our consolidated balance sheet as of December 31, 2024 and represent Level 1 assets on the fair value hierarchy. We had no cash in money market funds as of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assets measured at fair value, the following tables summarize the respective fair values and classifications by level of input within the fair value hierarchy as of December 31, 2025 and 2024. We had no liabilities measured at fair value as of December 31, 2025 and 2024:</w:t>
      </w:r>
    </w:p>
    <w:tbl>
      <w:tblPr>
        <w:tblW w:w="5415" w:type="dxa"/>
        <w:jc w:val="left"/>
        <w:tblInd w:w="0" w:type="dxa"/>
        <w:tblLayout w:type="fixed"/>
        <w:tblCellMar>
          <w:top w:w="28" w:type="dxa"/>
          <w:left w:w="28" w:type="dxa"/>
          <w:bottom w:w="28" w:type="dxa"/>
          <w:right w:w="28" w:type="dxa"/>
        </w:tblCellMar>
      </w:tblPr>
      <w:tblGrid>
        <w:gridCol w:w="538"/>
        <w:gridCol w:w="473"/>
        <w:gridCol w:w="474"/>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NFW investment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tbl>
      <w:tblPr>
        <w:tblW w:w="6419" w:type="dxa"/>
        <w:jc w:val="left"/>
        <w:tblInd w:w="0" w:type="dxa"/>
        <w:tblLayout w:type="fixed"/>
        <w:tblCellMar>
          <w:top w:w="28" w:type="dxa"/>
          <w:left w:w="28" w:type="dxa"/>
          <w:bottom w:w="28" w:type="dxa"/>
          <w:right w:w="28" w:type="dxa"/>
        </w:tblCellMar>
      </w:tblPr>
      <w:tblGrid>
        <w:gridCol w:w="652"/>
        <w:gridCol w:w="573"/>
        <w:gridCol w:w="574"/>
        <w:gridCol w:w="211"/>
        <w:gridCol w:w="721"/>
        <w:gridCol w:w="109"/>
        <w:gridCol w:w="109"/>
        <w:gridCol w:w="109"/>
        <w:gridCol w:w="109"/>
        <w:gridCol w:w="211"/>
        <w:gridCol w:w="406"/>
        <w:gridCol w:w="109"/>
        <w:gridCol w:w="109"/>
        <w:gridCol w:w="109"/>
        <w:gridCol w:w="109"/>
        <w:gridCol w:w="211"/>
        <w:gridCol w:w="466"/>
        <w:gridCol w:w="109"/>
        <w:gridCol w:w="109"/>
        <w:gridCol w:w="109"/>
        <w:gridCol w:w="109"/>
        <w:gridCol w:w="211"/>
        <w:gridCol w:w="72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NFW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Items Measured at Fair Value on a non-recurring basis</w:t>
      </w:r>
    </w:p>
    <w:p>
      <w:pPr>
        <w:pStyle w:val="TextBody"/>
        <w:bidi w:val="0"/>
        <w:spacing w:lineRule="auto" w:line="288" w:before="200" w:after="283"/>
        <w:jc w:val="both"/>
        <w:rPr/>
      </w:pPr>
      <w:r>
        <w:rPr>
          <w:rFonts w:ascii="Times New Roman;serif" w:hAnsi="Times New Roman;serif"/>
          <w:b w:val="false"/>
          <w:i/>
          <w:color w:val="000000"/>
          <w:sz w:val="20"/>
        </w:rPr>
        <w:t>Equity Investments</w:t>
      </w:r>
      <w:r>
        <w:rPr>
          <w:color w:val="000000"/>
        </w:rPr>
        <w:t>—</w:t>
      </w:r>
      <w:r>
        <w:rPr>
          <w:rFonts w:ascii="Times New Roman;serif" w:hAnsi="Times New Roman;serif"/>
          <w:b w:val="false"/>
          <w:color w:val="000000"/>
          <w:sz w:val="20"/>
        </w:rPr>
        <w:t>Our equity investment in NFW represents non-marketable equity securities in a privately held company that does not have a readily determinable fair value and are accounted for under the measurement alternative in ASC 321. In the fourth quarter of 2024, we recorded an impairment charge of $1.8 million in the consolidated statements of operations and comprehensive loss for the year ended December 31, 2024. In the third quarter of 2025, we recorded an impairment charge of $0.2 million in the consolidated statements of operations and comprehensive loss for the year ended December 31, 2025.</w:t>
      </w:r>
    </w:p>
    <w:p>
      <w:pPr>
        <w:pStyle w:val="TextBody"/>
        <w:bidi w:val="0"/>
        <w:spacing w:lineRule="auto" w:line="288" w:before="200" w:after="283"/>
        <w:jc w:val="both"/>
        <w:rPr/>
      </w:pPr>
      <w:r>
        <w:rPr>
          <w:rFonts w:ascii="Times New Roman;serif" w:hAnsi="Times New Roman;serif"/>
          <w:b w:val="false"/>
          <w:color w:val="000000"/>
          <w:sz w:val="20"/>
        </w:rPr>
        <w:t>There was no carrying values of our investment as of December 31, 2025. The carrying value of our investment was $0.2 million as of December 31, 2024</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Long-term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20, 2019, we entered into a credit agreement with JPMorgan Chase Bank, N.A. (the “Prior Credit Agreement”), providing for a revolving line of credit of up to $40.0 million, subject to a borrowing base formula, and an optional accordion, which, if exercised, would have allowed us to increase the aggregate commitment by up to $35.0 million, subject to obtaining additional lender commitments and satisfying certain conditions. The Prior Credit Agreement was amended on April 17, 2023 to, among other things, (i) increase the committed amount from $40.0 million to $50.0 million, subject to a borrowing base formula, (ii) increase the uncommitted incremental borrowing capacity from $35.0 million to $50.0 million, (iii) increase the interest rate margin by 0.50%, (iv) extend the maturity date from February 20, 2024 to April 17, 2026 and (v) provide that a Dominion Event Date (as defined therein) would occur on any date on which Availability (as defined therein) was less than 25.0% of the Aggregate Revolving Commitments (as defined therein). In connection with entry into the Credit Agreement (as hereinafter defined), we repaid and fully discharged our obligations under the Prior Credit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30, 2025, we entered into a secured $50.0 million revolving credit agreement with Second Avenue Capital Partners LLC (the “Credit Agreement”). The borrowing capacity is subject to a borrowing base formula, and may be increased up to an additional $25.0 million, subject to obtaining additional lender commitments and satisfying certain conditions. The Credit Agreement will mature on June 30, 2028.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borrowings under the Credit Agreement accrues at a variable rate equal to the sum of (i) the Term Secured Overnight Financing Rate (“SOFR”), plus (ii) 0.15%, plus (ii) a margin of 5.75% per annum. The commitment fee under the Credit Agreement is 0.45% per annum on the average daily unused portion of each lender’s commitment.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and affirmative covenants and negative covenants applicable to the Company and certain of its subsidiaries, including, among other things, restrictions on indebtedness, liens, investments, mergers, dispositions of assets, dividends and other distributions, minimum unrestricted cash, and minimum consolidated EBITDA. As of December 31, 2025, the Company was in compliance with these covenants. In addition, the Credit Agreement contains certain customary events of default including, but not limited to, failure to pay interest, principal and fees or other amounts when due, material misrepresentations or misstatements in any representation or warranty, covenant defaults, certain cross defaults to other material indebtedness, certain judgment defaults and events of bankruptcy or insolvency.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with entry into the Credit Agreement, we drew down $5.0 million on the revolving credit facility. The borrowings were used to, among other things, pay third-party debt issuance costs in the amount of $2.9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drew approximately $19.2 million on our revolving credit facility, inclusive of interest and fees. As of December 31, 2025, there was $17.3 million outstanding under the Credit Agreement. As of December 31, 2024, there were no borrowings outstanding under the Prior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16 for information on the Consent and First Amendment to Credit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30, 2024, following stockholder approval, we announced that we had filed with the Secretary of State of the State of Delaware a Certificate of Amendment to the Certificate to effect a Reverse Stock Split of the Company’s common stock in the ratio of 1-for-20, effective as of 5:00 p.m. Eastern Standard Time on September 4, 2024. Accordingly, each holder of common stock owned fewer shares of common stock as a result of the Reverse Stock Split. However, the Reverse Stock Split affected all holders of common stock uniformly and did not affect any stockholder’s percentage ownership interest in the Company, except to the extent that the Reverse Stock Split resulted in an adjustment to a stockholder’s ownership of Common Stock due to the treatment of fractional shares in the Reverse Stock Split. Therefore, voting rights and other rights and preferences of the holders of common stock were not affected by the Reverse Stock Split (other than as a result of the treatment of fractional shares). Common stock issued pursuant to the Reverse Stock Split remained fully paid and nonassessable, without any change in the par value per share.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fractional shares were issued as a result of the Reverse Stock Split. Instead, each stockholder received a cash payment equal to the fraction of which such stockholder was otherwise entitled multiplied by the closing price per share of Class A common stock on the date of the Effective Time as reported by Nasdaq (as adjusted to give effect to the Reverse Stock Split). The common stock began trading on a Reverse Stock Split-adjusted basis on The Nasdaq Global Select Market on September 5, 2024. All share and per share data in the accompanying financial statements and accompanying notes have been retroactively adjusted to reflect the effect of the Reverse Stock Split.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were authorized to issue 2,220,000,000 shares of capital stock, comprised of 2,000,000,000 shares of Class A common stock, 200,000,000 shares of Class B common stock, and 20,000,000 shares of preferred stock. All classes of our stock have a par value of $0.0001. There was no change in the number of shares authorized for issuance or the par value of the common stock and preferred stock as a result of the Reverse Stock Split.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two classes of common stock: Class A common stock and Class B common stock. Each class had a par value of $0.0001.</w:t>
      </w:r>
    </w:p>
    <w:p>
      <w:pPr>
        <w:pStyle w:val="TextBody"/>
        <w:bidi w:val="0"/>
        <w:spacing w:lineRule="auto" w:line="288" w:before="200" w:after="283"/>
        <w:jc w:val="both"/>
        <w:rPr/>
      </w:pPr>
      <w:r>
        <w:rPr>
          <w:rFonts w:ascii="Times New Roman;serif" w:hAnsi="Times New Roman;serif"/>
          <w:b/>
          <w:i/>
          <w:color w:val="000000"/>
          <w:sz w:val="20"/>
        </w:rPr>
        <w:t>Voting</w:t>
      </w:r>
      <w:r>
        <w:rPr>
          <w:color w:val="000000"/>
        </w:rPr>
        <w:t>—</w:t>
      </w:r>
      <w:r>
        <w:rPr>
          <w:rFonts w:ascii="Times New Roman;serif" w:hAnsi="Times New Roman;serif"/>
          <w:b w:val="false"/>
          <w:color w:val="000000"/>
          <w:sz w:val="20"/>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 (i) if we were to seek to amend our amended and restated certificate of incorporation to increase or decrease the number of authorized shares of a class of our capital stock, then that class would be required to vote separately to approve the proposed amendment; (ii) if we were to seek to amend our amended and restated certificate of incorporation to increase or decrease the par value of a class of our capital stock, then that class would be required to vote separately to approve the proposed amendment; and (iii) 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 As a result, in these limited instances, the holders of a majority of the Class A common stock could defeat an amendment to our amended and restated certificate of incorporation. Our amended and restated certificate of incorporation does not provide for cumulative voting for the election of directors.</w:t>
      </w:r>
    </w:p>
    <w:p>
      <w:pPr>
        <w:pStyle w:val="TextBody"/>
        <w:bidi w:val="0"/>
        <w:spacing w:lineRule="auto" w:line="288" w:before="200" w:after="283"/>
        <w:jc w:val="both"/>
        <w:rPr/>
      </w:pPr>
      <w:r>
        <w:rPr>
          <w:rFonts w:ascii="Times New Roman;serif" w:hAnsi="Times New Roman;serif"/>
          <w:b/>
          <w:i/>
          <w:color w:val="000000"/>
          <w:sz w:val="20"/>
        </w:rPr>
        <w:t>Dividends</w:t>
      </w:r>
      <w:r>
        <w:rPr>
          <w:color w:val="000000"/>
        </w:rPr>
        <w:t>—</w:t>
      </w:r>
      <w:r>
        <w:rPr>
          <w:rFonts w:ascii="Times New Roman;serif" w:hAnsi="Times New Roman;serif"/>
          <w:b w:val="false"/>
          <w:color w:val="000000"/>
          <w:sz w:val="20"/>
        </w:rPr>
        <w:t xml:space="preserve">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288" w:before="200" w:after="283"/>
        <w:jc w:val="both"/>
        <w:rPr/>
      </w:pPr>
      <w:r>
        <w:rPr>
          <w:rFonts w:ascii="Times New Roman;serif" w:hAnsi="Times New Roman;serif"/>
          <w:b/>
          <w:i/>
          <w:color w:val="000000"/>
          <w:sz w:val="20"/>
        </w:rPr>
        <w:t>Right to Receive Liquidation Distributions</w:t>
      </w:r>
      <w:r>
        <w:rPr>
          <w:color w:val="000000"/>
        </w:rPr>
        <w:t>—</w:t>
      </w:r>
      <w:r>
        <w:rPr>
          <w:rFonts w:ascii="Times New Roman;serif" w:hAnsi="Times New Roman;serif"/>
          <w:b w:val="false"/>
          <w:color w:val="000000"/>
          <w:sz w:val="20"/>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pStyle w:val="TextBody"/>
        <w:bidi w:val="0"/>
        <w:spacing w:lineRule="auto" w:line="288" w:before="200" w:after="283"/>
        <w:jc w:val="both"/>
        <w:rPr/>
      </w:pPr>
      <w:r>
        <w:rPr>
          <w:rFonts w:ascii="Times New Roman;serif" w:hAnsi="Times New Roman;serif"/>
          <w:b/>
          <w:i/>
          <w:color w:val="000000"/>
          <w:sz w:val="20"/>
        </w:rPr>
        <w:t>Conversion</w:t>
      </w:r>
      <w:r>
        <w:rPr>
          <w:color w:val="000000"/>
        </w:rPr>
        <w:t>—</w:t>
      </w:r>
      <w:r>
        <w:rPr>
          <w:rFonts w:ascii="Times New Roman;serif" w:hAnsi="Times New Roman;serif"/>
          <w:b w:val="false"/>
          <w:color w:val="000000"/>
          <w:sz w:val="20"/>
        </w:rPr>
        <w:t>Each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for (i) certain permitted transfers to entities, to the extent the transferor retains sole dispositive power and exclusive voting control with respect to the shares of Class B common stock, and (ii) certain other permitted transfers described in our amended and restated certificate of incorporation. In addition, if held by a natural person (including a natural person serving in a sole trustee capacity), each share of our Class B common stock will convert automatically into one share of our Class A common stock upon the death or incapacity of such natural person as described in our amended and restated certificate of incorporation. All outstanding shares of our Class B common stock will convert automatically into an equivalent number of shares of our Class A common stock upon the final conversion date, defined as the later of (a) the last trading day of the fiscal quarter immediately following the tenth anniversary of November 5, 2021 and (b) the date fixed by our board of directors that is no less than 61 days and no more than 180 days following the date on which the outstanding shares of Class B common stock first represent less than 10% of the aggregate number of the then outstanding shares of Class A common stock and Class B common stock (except if the final conversion date determined according to (a) or (b) would otherwise occur on or after the record date of any meeting of stockholders and before or at the time the vote at such meeting is taken, then the final conversion date shall instead be the last trading day of the fiscal quarter during which such vote was taken).</w:t>
      </w:r>
    </w:p>
    <w:p>
      <w:pPr>
        <w:pStyle w:val="TextBody"/>
        <w:bidi w:val="0"/>
        <w:spacing w:lineRule="auto" w:line="288" w:before="200" w:after="283"/>
        <w:jc w:val="both"/>
        <w:rPr/>
      </w:pPr>
      <w:r>
        <w:rPr>
          <w:rFonts w:ascii="Times New Roman;serif" w:hAnsi="Times New Roman;serif"/>
          <w:b/>
          <w:i/>
          <w:color w:val="000000"/>
          <w:sz w:val="20"/>
        </w:rPr>
        <w:t>Other Matters</w:t>
      </w:r>
      <w:r>
        <w:rPr>
          <w:color w:val="000000"/>
        </w:rPr>
        <w:t>—</w:t>
      </w:r>
      <w:r>
        <w:rPr>
          <w:rFonts w:ascii="Times New Roman;serif" w:hAnsi="Times New Roman;serif"/>
          <w:b w:val="false"/>
          <w:color w:val="000000"/>
          <w:sz w:val="20"/>
        </w:rPr>
        <w:t>The Class A common stock and Class B common stock have no preemptive rights pursuant to the terms of our amended and restated certificate of incorporation and our amended and restated bylaws. There are no redemption or sinking fund provisions applicable to the Class A common stock and Class B common stock. All outstanding shares of our Class A common stock are fully paid and non-assessable.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Shares of common stock reserved for future issuance as of December 31, 2025 and 2024 consist of the following:</w:t>
      </w:r>
    </w:p>
    <w:tbl>
      <w:tblPr>
        <w:tblW w:w="7992" w:type="dxa"/>
        <w:jc w:val="left"/>
        <w:tblInd w:w="0" w:type="dxa"/>
        <w:tblLayout w:type="fixed"/>
        <w:tblCellMar>
          <w:top w:w="28" w:type="dxa"/>
          <w:left w:w="28" w:type="dxa"/>
          <w:bottom w:w="28" w:type="dxa"/>
          <w:right w:w="28" w:type="dxa"/>
        </w:tblCellMar>
      </w:tblPr>
      <w:tblGrid>
        <w:gridCol w:w="1766"/>
        <w:gridCol w:w="1552"/>
        <w:gridCol w:w="1557"/>
        <w:gridCol w:w="488"/>
        <w:gridCol w:w="488"/>
        <w:gridCol w:w="366"/>
        <w:gridCol w:w="109"/>
        <w:gridCol w:w="109"/>
        <w:gridCol w:w="109"/>
        <w:gridCol w:w="488"/>
        <w:gridCol w:w="488"/>
        <w:gridCol w:w="472"/>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convertible preferred stock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Equity Incentive Plan:</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316,542 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Equity Incentive Plan:</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240,819 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795,645 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822,815 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491,544 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Employee Stock Purchase Plan:</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316,554 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 for future issuance</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2,225,262 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2,206,765 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ATM Offering Program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we entered into an “at-the-market offering” (“ATM”) program with TD Securities (USA) LLC (“TD Cowen”), pursuant to which we may offer and sell, from time to time, through TD Cowen or its affiliates, acting as sales agents, shares of our common stock having an aggregate offering price of up to $50 million (subject to the “baby shelf”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0" w:after="0"/>
        <w:jc w:val="left"/>
        <w:rPr/>
      </w:pPr>
      <w:r>
        <w:rPr>
          <w:rFonts w:ascii="Times New Roman;serif" w:hAnsi="Times New Roman;serif"/>
          <w:b w:val="false"/>
          <w:color w:val="000000"/>
          <w:sz w:val="20"/>
        </w:rPr>
        <w:t>limitation in General Instruction I.B.6 of Form S-3). Under the ATM, the sales agents may sell shares by any method deemed to be an “at-the-market offering.” During the year ended December 31, 2025, we sold 386,289</w:t>
      </w:r>
      <w:r>
        <w:rPr>
          <w:color w:val="000000"/>
        </w:rPr>
        <w:t xml:space="preserve"> </w:t>
      </w:r>
      <w:r>
        <w:rPr>
          <w:rFonts w:ascii="Times New Roman;serif" w:hAnsi="Times New Roman;serif"/>
          <w:b w:val="false"/>
          <w:color w:val="000000"/>
          <w:sz w:val="20"/>
        </w:rPr>
        <w:t>shares of Class A common stock under the ATM program for net proceeds of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Segments and Geographic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reviewed by the chief operating decision maker (“CODM”) in deciding how to allocate resources to an individual segment and in assessing performance. Specifically, our CODM uses consolidated net loss as the measure of segment profit or loss for evaluating performance and allocating resources through comparison of actual amounts against budgeted and prior period amounts. The measure of segment assets is reported on the consolidated balance sheets as “Total assets”. Therefore, we operate as one operating and reportable segment as our CODM reviews consolidated financial information in managing the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significant expense categories and other specified amounts included in consolidated net loss that are otherwise regularly provided to the CODM for the years ended December 31, 2025 and 2024:</w:t>
      </w:r>
    </w:p>
    <w:p>
      <w:pPr>
        <w:pStyle w:val="TextBody"/>
        <w:bidi w:val="0"/>
        <w:spacing w:before="0" w:after="0"/>
        <w:jc w:val="both"/>
        <w:rPr/>
      </w:pPr>
      <w:r>
        <w:rPr/>
      </w:r>
    </w:p>
    <w:tbl>
      <w:tblPr>
        <w:tblW w:w="6662" w:type="dxa"/>
        <w:jc w:val="left"/>
        <w:tblInd w:w="0" w:type="dxa"/>
        <w:tblLayout w:type="fixed"/>
        <w:tblCellMar>
          <w:top w:w="28" w:type="dxa"/>
          <w:left w:w="28" w:type="dxa"/>
          <w:bottom w:w="28" w:type="dxa"/>
          <w:right w:w="28" w:type="dxa"/>
        </w:tblCellMar>
      </w:tblPr>
      <w:tblGrid>
        <w:gridCol w:w="1367"/>
        <w:gridCol w:w="1204"/>
        <w:gridCol w:w="1209"/>
        <w:gridCol w:w="211"/>
        <w:gridCol w:w="826"/>
        <w:gridCol w:w="109"/>
        <w:gridCol w:w="109"/>
        <w:gridCol w:w="109"/>
        <w:gridCol w:w="109"/>
        <w:gridCol w:w="211"/>
        <w:gridCol w:w="826"/>
        <w:gridCol w:w="109"/>
        <w:gridCol w:w="109"/>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benefits expense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expenses—net</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by geographic area, comprising property and equipment - net, definite-lived intangible assets, and operating lease right-of-use assets:</w:t>
      </w:r>
    </w:p>
    <w:tbl>
      <w:tblPr>
        <w:tblW w:w="4526" w:type="dxa"/>
        <w:jc w:val="left"/>
        <w:tblInd w:w="0" w:type="dxa"/>
        <w:tblLayout w:type="fixed"/>
        <w:tblCellMar>
          <w:top w:w="28" w:type="dxa"/>
          <w:left w:w="28" w:type="dxa"/>
          <w:bottom w:w="28" w:type="dxa"/>
          <w:right w:w="28" w:type="dxa"/>
        </w:tblCellMar>
      </w:tblPr>
      <w:tblGrid>
        <w:gridCol w:w="713"/>
        <w:gridCol w:w="625"/>
        <w:gridCol w:w="627"/>
        <w:gridCol w:w="222"/>
        <w:gridCol w:w="759"/>
        <w:gridCol w:w="114"/>
        <w:gridCol w:w="109"/>
        <w:gridCol w:w="109"/>
        <w:gridCol w:w="109"/>
        <w:gridCol w:w="221"/>
        <w:gridCol w:w="757"/>
        <w:gridCol w:w="161"/>
      </w:tblGrid>
      <w:tr>
        <w:trPr/>
        <w:tc>
          <w:tcPr>
            <w:tcW w:w="7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Long-lived 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our net revenue by geographic area, where no individual foreign country contributed in excess of 10% of net revenue for the years ended December 31, 2025 and 2024. We recognized the following net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Selling, general and administrative expense consists of third-party professional fees, information technology costs, fixed and variable lease costs for corporate offices and retail stores, software and license costs, legal fees, and other administrative costs associated with operating the business.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Payroll and benefits expense consists of salaries, benefits, and bonuses for our corporate and retail employees. Payroll and benefits expense excludes stock-based compensation expense.</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segment expenses</w:t>
      </w:r>
      <w:r>
        <w:rPr>
          <w:color w:val="000000"/>
        </w:rPr>
        <w:t>—</w:t>
      </w:r>
      <w:r>
        <w:rPr>
          <w:rFonts w:ascii="Times New Roman;serif" w:hAnsi="Times New Roman;serif"/>
          <w:b w:val="false"/>
          <w:color w:val="000000"/>
          <w:sz w:val="16"/>
        </w:rPr>
        <w:t>net consists of depreciation and amortization expense, stock-based compensation expense, impairment expense, restructuring expense, credit card and other payment processing fees, travel, meals, and entertainment expenses for employees and non-employees, net loss from the sales of businesses, other income and expense, interest income, and income tax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geographic area based on the primary shipping address of the customer for digital or third-party sales, and based on the physical store location for retail store sales:</w:t>
      </w:r>
    </w:p>
    <w:tbl>
      <w:tblPr>
        <w:tblW w:w="4427" w:type="dxa"/>
        <w:jc w:val="left"/>
        <w:tblInd w:w="0" w:type="dxa"/>
        <w:tblLayout w:type="fixed"/>
        <w:tblCellMar>
          <w:top w:w="28" w:type="dxa"/>
          <w:left w:w="28" w:type="dxa"/>
          <w:bottom w:w="28" w:type="dxa"/>
          <w:right w:w="28" w:type="dxa"/>
        </w:tblCellMar>
      </w:tblPr>
      <w:tblGrid>
        <w:gridCol w:w="560"/>
        <w:gridCol w:w="492"/>
        <w:gridCol w:w="493"/>
        <w:gridCol w:w="211"/>
        <w:gridCol w:w="826"/>
        <w:gridCol w:w="109"/>
        <w:gridCol w:w="109"/>
        <w:gridCol w:w="109"/>
        <w:gridCol w:w="109"/>
        <w:gridCol w:w="211"/>
        <w:gridCol w:w="826"/>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Stock Transactions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2018, we received a promissory note from an employee in consideration for the early exercise of 11,000 shares of common stock options. The promissory note was secured by the underlying shares of common stock and bears interest at 2.86% per annum. In June 2023, the note was amended to no longer accrue interest after March 31, 2023 and to extend the maturity date to October 1, 2025. During the three months ended December 31, 2025, we entered into a settlement agreement pursuant to which we received a settlement payment of $50,000 and all of the underlying shares of common stock will be surrendered to the Company as treasury shares.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the note was a limited recourse note, the note receivables was not reflected in our consolidated balance sheets as of December 31, 2025 and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2015 Equity Incentive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2015, we adopted the 2015 Equity Incentive Plan (the “2015 Plan”) that authorized the granting of options for shares of common stock. Our 2015 Plan provided for the grant of incentive stock options, non-statutory stock options, stock appreciation rights, restricted stock awards, restricted stock unit (“RSU”) awards, and other stock awards. The 2015 Plan was terminated in connection with the adoption of the 2021 Equity Incentive Plan (the “2021 Plan”) in November 2021 in connection with the IPO, and we will not grant any additional awards under the 2015 Plan. However, the 2015 Plan will continue to govern the terms and conditions of the outstanding awards previously granted thereunder.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2021, our board of directors adopted, and our stockholders approved, the 2021 Plan, which became effective in connection with the IPO in November 2021. The 2021 Plan provides for the grant of incentive stock options, nonqualified stock options, stock appreciation rights, restricted stock awards, RSU awards, performance awards, and other forms of equity compensation.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 of our common stock (both Class A and Class B) outstanding on December 31 of the immediately preceding year, except that, before the date of any such increase, our board of directors may determine that the increase for such year will be the lesser number of shares. Additionally, to the extent that any stock options outstanding under the 2015 Plan expire, terminate prior to exercise, are not issued because the award is settled in cash, are forfeited because of the failure to vest, or are reacquired or withheld (or not issued) to satisfy a tax withholding obligation or the purchase or exercise price, if any, the shares of Class B common stock reserved for issuance pursuant to such equity awards will become available for issuance as shares of Class A common stock under the 2021 Plan. The maximum number of shares of our Class A common stock that may be issued on the exercise of incentive stock options under the 2021 Plan will be 100,000,000 shares.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our board of directors adopted, and our stockholders approved, the 2021 Employee Stock Purchase Plan (the “2021 ESPP”), which became effective in connection with the IPO in November 2021. The 2021 ESPP authorizes the issuance of shares of Class A common stock pursuant to purchase rights granted to employees. A total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366,866 shares of the Company’s Class A common stock have been reserved for future issuance under the 2021 ESPP as of December 31, 2025. The number of shares of our Class A common stock reserved for issuance will automatically increase on January 1 of each year for a period of 10 years, beginning on January 1, 2022 and continuing through (and including) January 1, 2031, by the lesser of (1) 1% of the total number of shares of our common stock (both Class A and Class B) outstanding on December 31 of the immediately preceding year and (2) 142,500 shares, except that, before the date of any such increase, our board of directors may determine that such increase will be less than the amount set forth in clauses (1) and (2). The price at which Class A common stock is purchased under the 2021 ESPP is equal to 85% of the fair market value of a share of the Company’s Class A common stock on the first day of the offering period or the date of purchase, whichever is lower. Offering periods are six months long and begin on November 3 and May 3 of each year. The initial offering period began on November 3, 2021.</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2015 Plan and the 2021 Plan as of December 31, 2025 and 2024, and changes during the periods then ended is presented below:</w:t>
      </w:r>
    </w:p>
    <w:tbl>
      <w:tblPr>
        <w:tblW w:w="10205" w:type="dxa"/>
        <w:jc w:val="left"/>
        <w:tblInd w:w="0" w:type="dxa"/>
        <w:tblLayout w:type="fixed"/>
        <w:tblCellMar>
          <w:top w:w="28" w:type="dxa"/>
          <w:left w:w="28" w:type="dxa"/>
          <w:bottom w:w="28" w:type="dxa"/>
          <w:right w:w="28" w:type="dxa"/>
        </w:tblCellMar>
      </w:tblPr>
      <w:tblGrid>
        <w:gridCol w:w="785"/>
        <w:gridCol w:w="689"/>
        <w:gridCol w:w="691"/>
        <w:gridCol w:w="499"/>
        <w:gridCol w:w="389"/>
        <w:gridCol w:w="329"/>
        <w:gridCol w:w="109"/>
        <w:gridCol w:w="109"/>
        <w:gridCol w:w="109"/>
        <w:gridCol w:w="418"/>
        <w:gridCol w:w="1223"/>
        <w:gridCol w:w="217"/>
        <w:gridCol w:w="109"/>
        <w:gridCol w:w="109"/>
        <w:gridCol w:w="109"/>
        <w:gridCol w:w="756"/>
        <w:gridCol w:w="756"/>
        <w:gridCol w:w="757"/>
        <w:gridCol w:w="109"/>
        <w:gridCol w:w="109"/>
        <w:gridCol w:w="109"/>
        <w:gridCol w:w="432"/>
        <w:gridCol w:w="957"/>
        <w:gridCol w:w="326"/>
      </w:tblGrid>
      <w:tr>
        <w:trPr/>
        <w:tc>
          <w:tcPr>
            <w:tcW w:w="7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(61,239)</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487,427 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8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426,368 </w:t>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aggregate intrinsic value of stock options exercised under both equity incentive plans was $13 thousand and $2 thousand, respectively. Aggregate intrinsic value represents the difference between the exercise price of the options and the fair value of our common stock as of the reporting date.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options granted for the years ended December 31, 2025 and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2021 ESPP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estimating the fair value of the 2021 ESPP grants for the following offering periods, using the Black Scholes option-pricing model:</w:t>
      </w:r>
    </w:p>
    <w:tbl>
      <w:tblPr>
        <w:tblW w:w="10205" w:type="dxa"/>
        <w:jc w:val="left"/>
        <w:tblInd w:w="0" w:type="dxa"/>
        <w:tblLayout w:type="fixed"/>
        <w:tblCellMar>
          <w:top w:w="28" w:type="dxa"/>
          <w:left w:w="28" w:type="dxa"/>
          <w:bottom w:w="28" w:type="dxa"/>
          <w:right w:w="28" w:type="dxa"/>
        </w:tblCellMar>
      </w:tblPr>
      <w:tblGrid>
        <w:gridCol w:w="419"/>
        <w:gridCol w:w="323"/>
        <w:gridCol w:w="325"/>
        <w:gridCol w:w="473"/>
        <w:gridCol w:w="314"/>
        <w:gridCol w:w="784"/>
        <w:gridCol w:w="109"/>
        <w:gridCol w:w="109"/>
        <w:gridCol w:w="109"/>
        <w:gridCol w:w="493"/>
        <w:gridCol w:w="294"/>
        <w:gridCol w:w="736"/>
        <w:gridCol w:w="109"/>
        <w:gridCol w:w="109"/>
        <w:gridCol w:w="109"/>
        <w:gridCol w:w="473"/>
        <w:gridCol w:w="314"/>
        <w:gridCol w:w="784"/>
        <w:gridCol w:w="109"/>
        <w:gridCol w:w="109"/>
        <w:gridCol w:w="109"/>
        <w:gridCol w:w="493"/>
        <w:gridCol w:w="294"/>
        <w:gridCol w:w="736"/>
        <w:gridCol w:w="109"/>
        <w:gridCol w:w="109"/>
        <w:gridCol w:w="109"/>
        <w:gridCol w:w="471"/>
        <w:gridCol w:w="297"/>
        <w:gridCol w:w="874"/>
      </w:tblGrid>
      <w:tr>
        <w:trPr/>
        <w:tc>
          <w:tcPr>
            <w:tcW w:w="4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Offering Period - November 3, 2025 to 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 Period - May 3, 2025 to November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 Period - November 3, 2024 to 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 Period - May 3, 2024 to 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 Period - November 3, 2023 to May 2, 2024</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lives (years)</w:t>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After completion of the IPO in November 2021, the Company began granting RSUs to certain employees. The RSUs granted had service-based vesting conditions. The service-based vesting condition for these awards is typically satisfied over four years, with a cliff vesting period of one year and continued vesting quarterly thereafter. The service-based vesting condition for refresh grants of RSUs to existing employees is typically satisfied over three years with vesting occurring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quarterly, subject to the employees’ continued service to us. RSUs and the related stock-based compensation are recognized on a straight-line basis over the requisite service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RSU activity during the year ended December 31, 2025 was as follows:</w:t>
      </w:r>
    </w:p>
    <w:tbl>
      <w:tblPr>
        <w:tblW w:w="8410" w:type="dxa"/>
        <w:jc w:val="left"/>
        <w:tblInd w:w="0" w:type="dxa"/>
        <w:tblLayout w:type="fixed"/>
        <w:tblCellMar>
          <w:top w:w="28" w:type="dxa"/>
          <w:left w:w="28" w:type="dxa"/>
          <w:bottom w:w="28" w:type="dxa"/>
          <w:right w:w="28" w:type="dxa"/>
        </w:tblCellMar>
      </w:tblPr>
      <w:tblGrid>
        <w:gridCol w:w="978"/>
        <w:gridCol w:w="860"/>
        <w:gridCol w:w="862"/>
        <w:gridCol w:w="469"/>
        <w:gridCol w:w="469"/>
        <w:gridCol w:w="471"/>
        <w:gridCol w:w="109"/>
        <w:gridCol w:w="109"/>
        <w:gridCol w:w="109"/>
        <w:gridCol w:w="854"/>
        <w:gridCol w:w="2494"/>
        <w:gridCol w:w="62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(302,031)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491,544 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00" w:after="200"/>
        <w:jc w:val="both"/>
        <w:rPr/>
      </w:pPr>
      <w:r>
        <w:rPr>
          <w:rFonts w:ascii="Times New Roman;serif" w:hAnsi="Times New Roman;serif"/>
          <w:b w:val="false"/>
          <w:i/>
          <w:color w:val="000000"/>
          <w:sz w:val="20"/>
        </w:rPr>
        <w:t xml:space="preserve">PSUs with Performance Conditions- </w:t>
      </w:r>
      <w:r>
        <w:rPr>
          <w:rFonts w:ascii="Times New Roman;serif" w:hAnsi="Times New Roman;serif"/>
          <w:b w:val="false"/>
          <w:color w:val="000000"/>
          <w:sz w:val="20"/>
        </w:rPr>
        <w:t xml:space="preserve">In March 2025 and in April 2025, we granted certain members of our executive leadership team 50 thousand RSUs and approximately 27 thousand RSU’s, respectively, with performance-based and service-based vesting conditions. The awards vest based on the achievement of certain financial performance targets as well as the individuals’ continued employment with us. The total grant date fair value of the awards was determined to be $0.3 million. Stock-based compensation expense is recognized on a straight-line basis over their requisite service periods, if it is probable the performance condition will be met. Stock-based compensation expense is reversed if the achievement of the performance condition does not occur. </w:t>
      </w:r>
    </w:p>
    <w:p>
      <w:pPr>
        <w:pStyle w:val="TextBody"/>
        <w:bidi w:val="0"/>
        <w:spacing w:lineRule="auto" w:line="288" w:before="0" w:after="200"/>
        <w:jc w:val="left"/>
        <w:rPr/>
      </w:pPr>
      <w:r>
        <w:rPr>
          <w:rFonts w:ascii="Times New Roman;serif" w:hAnsi="Times New Roman;serif"/>
          <w:b w:val="false"/>
          <w:i/>
          <w:color w:val="000000"/>
          <w:sz w:val="20"/>
        </w:rPr>
        <w:t xml:space="preserve">PSUs with Market Conditions- </w:t>
      </w:r>
      <w:r>
        <w:rPr>
          <w:rFonts w:ascii="Times New Roman;serif" w:hAnsi="Times New Roman;serif"/>
          <w:b w:val="false"/>
          <w:color w:val="000000"/>
          <w:sz w:val="20"/>
        </w:rPr>
        <w:t xml:space="preserve">In March 2024, in connection with the appointment of Joe Vernachio as CEO, we granted him approximately 30 thousand RSUs with market-based and service-based vesting conditions (“PSUs”). The awards vest based on the achievement of certain stock price targets as well as his continued employment with us. The total grant date fair value of the awards was determined to be $0.1 million. In May 2022, we granted a target amount of approximately 40 thousand PSUs to certain executives. The total grant date fair value of the awards was determined to be $4.0 million, with each tranche of the awards representing approximately $1.3 million, $1.4 million, and $1.4 million of the total expense,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relating to PSUs is recognized on a straight-line basis over the requisite service period for each tranche, regardless of whether the market condition is ultimately satisfied. Stock-based compensation expense is not reversed if the achievement of the market condition does not occur. We recognized stock-based compensation expense of $0.2 million and $0.8 million for the years ended December 31, 2025 and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PSU activity for the year ended December 31, 2025 was as follows:</w:t>
      </w:r>
    </w:p>
    <w:p>
      <w:pPr>
        <w:pStyle w:val="TextBody"/>
        <w:bidi w:val="0"/>
        <w:spacing w:before="0" w:after="0"/>
        <w:jc w:val="both"/>
        <w:rPr/>
      </w:pPr>
      <w:r>
        <w:rPr/>
      </w:r>
    </w:p>
    <w:tbl>
      <w:tblPr>
        <w:tblW w:w="8951" w:type="dxa"/>
        <w:jc w:val="left"/>
        <w:tblInd w:w="0" w:type="dxa"/>
        <w:tblLayout w:type="fixed"/>
        <w:tblCellMar>
          <w:top w:w="28" w:type="dxa"/>
          <w:left w:w="28" w:type="dxa"/>
          <w:bottom w:w="28" w:type="dxa"/>
          <w:right w:w="28" w:type="dxa"/>
        </w:tblCellMar>
      </w:tblPr>
      <w:tblGrid>
        <w:gridCol w:w="978"/>
        <w:gridCol w:w="860"/>
        <w:gridCol w:w="862"/>
        <w:gridCol w:w="649"/>
        <w:gridCol w:w="649"/>
        <w:gridCol w:w="652"/>
        <w:gridCol w:w="109"/>
        <w:gridCol w:w="109"/>
        <w:gridCol w:w="109"/>
        <w:gridCol w:w="854"/>
        <w:gridCol w:w="2494"/>
        <w:gridCol w:w="62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77,409 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83,780 </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selling, general, and administrative expense in the consolidated statements of operations and comprehensive loss, for the years ended December 31, 2025 and 2024 was comprised of the following:</w:t>
      </w:r>
    </w:p>
    <w:tbl>
      <w:tblPr>
        <w:tblW w:w="7310" w:type="dxa"/>
        <w:jc w:val="left"/>
        <w:tblInd w:w="0" w:type="dxa"/>
        <w:tblLayout w:type="fixed"/>
        <w:tblCellMar>
          <w:top w:w="28" w:type="dxa"/>
          <w:left w:w="28" w:type="dxa"/>
          <w:bottom w:w="28" w:type="dxa"/>
          <w:right w:w="28" w:type="dxa"/>
        </w:tblCellMar>
      </w:tblPr>
      <w:tblGrid>
        <w:gridCol w:w="1641"/>
        <w:gridCol w:w="1439"/>
        <w:gridCol w:w="1450"/>
        <w:gridCol w:w="247"/>
        <w:gridCol w:w="721"/>
        <w:gridCol w:w="127"/>
        <w:gridCol w:w="109"/>
        <w:gridCol w:w="109"/>
        <w:gridCol w:w="109"/>
        <w:gridCol w:w="222"/>
        <w:gridCol w:w="759"/>
        <w:gridCol w:w="114"/>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amounts capitalized</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$1.0 million of unrecognized compensation cost related to outstanding unvested stock options, $5.1 million of unrecognized compensation cost related to outstanding unvested RSUs, and $0.4 million of unrecognized compensation cost related to outstanding unvested PSUs under both equity incentive plans. The remaining unrecognized compensation costs are expected to be recognized over the weighted-average remaining vesting periods of 1.27 years, 1.96 years, and 1.18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loss before provision for income taxes are as follows for the years ended December 31, 2025 and 2024:</w:t>
      </w:r>
    </w:p>
    <w:tbl>
      <w:tblPr>
        <w:tblW w:w="6212" w:type="dxa"/>
        <w:jc w:val="left"/>
        <w:tblInd w:w="0" w:type="dxa"/>
        <w:tblLayout w:type="fixed"/>
        <w:tblCellMar>
          <w:top w:w="28" w:type="dxa"/>
          <w:left w:w="28" w:type="dxa"/>
          <w:bottom w:w="28" w:type="dxa"/>
          <w:right w:w="28" w:type="dxa"/>
        </w:tblCellMar>
      </w:tblPr>
      <w:tblGrid>
        <w:gridCol w:w="1229"/>
        <w:gridCol w:w="1079"/>
        <w:gridCol w:w="1082"/>
        <w:gridCol w:w="211"/>
        <w:gridCol w:w="796"/>
        <w:gridCol w:w="109"/>
        <w:gridCol w:w="109"/>
        <w:gridCol w:w="109"/>
        <w:gridCol w:w="109"/>
        <w:gridCol w:w="211"/>
        <w:gridCol w:w="796"/>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provision for income taxes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total provision for income taxes consists of the following for the years ended December 31, 2025 and 2024:</w:t>
      </w:r>
    </w:p>
    <w:tbl>
      <w:tblPr>
        <w:tblW w:w="5584" w:type="dxa"/>
        <w:jc w:val="left"/>
        <w:tblInd w:w="0" w:type="dxa"/>
        <w:tblLayout w:type="fixed"/>
        <w:tblCellMar>
          <w:top w:w="28" w:type="dxa"/>
          <w:left w:w="28" w:type="dxa"/>
          <w:bottom w:w="28" w:type="dxa"/>
          <w:right w:w="28" w:type="dxa"/>
        </w:tblCellMar>
      </w:tblPr>
      <w:tblGrid>
        <w:gridCol w:w="1017"/>
        <w:gridCol w:w="893"/>
        <w:gridCol w:w="895"/>
        <w:gridCol w:w="293"/>
        <w:gridCol w:w="648"/>
        <w:gridCol w:w="153"/>
        <w:gridCol w:w="109"/>
        <w:gridCol w:w="109"/>
        <w:gridCol w:w="109"/>
        <w:gridCol w:w="247"/>
        <w:gridCol w:w="721"/>
        <w:gridCol w:w="127"/>
        <w:gridCol w:w="109"/>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provision for income taxes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adopted ASU 2023-09 “Income Taxes (Topic 740): Improvements To Income Tax Disclosures” on a prospective basis beginning with the year ended December 31, 2025. The following table presents required disclosure pursuant to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2023-09 and reconciles the U.S. federal statutory tax amount and rate to our actual global effective amount and rate for the year ended December 31, 2025:</w:t>
      </w:r>
    </w:p>
    <w:tbl>
      <w:tblPr>
        <w:tblW w:w="7875" w:type="dxa"/>
        <w:jc w:val="left"/>
        <w:tblInd w:w="0" w:type="dxa"/>
        <w:tblLayout w:type="fixed"/>
        <w:tblCellMar>
          <w:top w:w="28" w:type="dxa"/>
          <w:left w:w="28" w:type="dxa"/>
          <w:bottom w:w="28" w:type="dxa"/>
          <w:right w:w="28" w:type="dxa"/>
        </w:tblCellMar>
      </w:tblPr>
      <w:tblGrid>
        <w:gridCol w:w="1969"/>
        <w:gridCol w:w="1728"/>
        <w:gridCol w:w="1732"/>
        <w:gridCol w:w="211"/>
        <w:gridCol w:w="796"/>
        <w:gridCol w:w="109"/>
        <w:gridCol w:w="109"/>
        <w:gridCol w:w="109"/>
        <w:gridCol w:w="109"/>
        <w:gridCol w:w="291"/>
        <w:gridCol w:w="294"/>
        <w:gridCol w:w="418"/>
      </w:tblGrid>
      <w:tr>
        <w:trPr/>
        <w:tc>
          <w:tcPr>
            <w:tcW w:w="196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the current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cross-border tax laws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270"/>
        <w:jc w:val="both"/>
        <w:rPr>
          <w:rFonts w:ascii="Times New Roman;serif" w:hAnsi="Times New Roman;serif"/>
          <w:b w:val="false"/>
          <w:color w:val="000000"/>
          <w:sz w:val="16"/>
        </w:rPr>
      </w:pPr>
      <w:r>
        <w:rPr>
          <w:rFonts w:ascii="Times New Roman;serif" w:hAnsi="Times New Roman;serif"/>
          <w:b w:val="false"/>
          <w:color w:val="000000"/>
          <w:sz w:val="16"/>
        </w:rPr>
        <w:t>(1) State taxes in Massachusetts and Texas made up the majority (greater than 50 percent) of the tax effect in this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reconciles the U.S. federal statutory income tax rate to the actual global effective income tax rate for the years ended December 31, 2024:</w:t>
      </w:r>
    </w:p>
    <w:tbl>
      <w:tblPr>
        <w:tblW w:w="4935" w:type="dxa"/>
        <w:jc w:val="left"/>
        <w:tblInd w:w="0" w:type="dxa"/>
        <w:tblLayout w:type="fixed"/>
        <w:tblCellMar>
          <w:top w:w="28" w:type="dxa"/>
          <w:left w:w="28" w:type="dxa"/>
          <w:bottom w:w="28" w:type="dxa"/>
          <w:right w:w="28" w:type="dxa"/>
        </w:tblCellMar>
      </w:tblPr>
      <w:tblGrid>
        <w:gridCol w:w="1224"/>
        <w:gridCol w:w="1074"/>
        <w:gridCol w:w="1077"/>
        <w:gridCol w:w="344"/>
        <w:gridCol w:w="346"/>
        <w:gridCol w:w="607"/>
        <w:gridCol w:w="109"/>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at statutory rate</w:t>
            </w:r>
          </w:p>
        </w:tc>
        <w:tc>
          <w:tcPr>
            <w:tcW w:w="690"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607"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taxes-net of federal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contribution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and other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Significant components of our net deferred tax assets as of December 31, 2025 and 2024, which are included in other assets in the consolidated balance sheets, are as follows:</w:t>
      </w:r>
    </w:p>
    <w:tbl>
      <w:tblPr>
        <w:tblW w:w="5292" w:type="dxa"/>
        <w:jc w:val="left"/>
        <w:tblInd w:w="0" w:type="dxa"/>
        <w:tblLayout w:type="fixed"/>
        <w:tblCellMar>
          <w:top w:w="28" w:type="dxa"/>
          <w:left w:w="28" w:type="dxa"/>
          <w:bottom w:w="28" w:type="dxa"/>
          <w:right w:w="28" w:type="dxa"/>
        </w:tblCellMar>
      </w:tblPr>
      <w:tblGrid>
        <w:gridCol w:w="990"/>
        <w:gridCol w:w="869"/>
        <w:gridCol w:w="871"/>
        <w:gridCol w:w="247"/>
        <w:gridCol w:w="721"/>
        <w:gridCol w:w="127"/>
        <w:gridCol w:w="109"/>
        <w:gridCol w:w="109"/>
        <w:gridCol w:w="109"/>
        <w:gridCol w:w="245"/>
        <w:gridCol w:w="716"/>
        <w:gridCol w:w="179"/>
      </w:tblGrid>
      <w:tr>
        <w:trPr/>
        <w:tc>
          <w:tcPr>
            <w:tcW w:w="9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contributions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payable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capitalized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record deferred income taxes using enacted tax laws and rates for the years in which the taxes are expected to be paid. Deferred income tax assets and liabilities are recorded based on the differences between the financial reporting and income tax bases of assets and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have a recent history of pre-tax book losses and are expected to be in pre-tax book loss in the immediate future, both of which are considered significant negative evidence, the deferred tax assets in the United States and certain foreign jurisdictions have been reduced by a valuation allowance to an amount that is more likely than not to be realized.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federal tax rules generally provide for a 100% deduction for dividends received from foreign subsidiaries. Nevertheless, companies must still apply the guidance of ASC 740 to account for the tax consequences of outside basis differences and other tax impacts of their investments in foreign subsidiaries, including potential state income tax and foreign withholding taxes on distributions. As of December 31, 2025, we no longer consider the unremitted earnings of our foreign subsidiaries to be permanently reinvested, with the exception of Allbirds UK. The unremitted earnings of these entities is not significant and would not result in material incremental taxes if such earnings were repatriated back to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tabular reconciliation of the total amounts of unrecognized tax benefits for the year presented is as follows:</w:t>
      </w:r>
    </w:p>
    <w:tbl>
      <w:tblPr>
        <w:tblW w:w="8210" w:type="dxa"/>
        <w:jc w:val="left"/>
        <w:tblInd w:w="0" w:type="dxa"/>
        <w:tblLayout w:type="fixed"/>
        <w:tblCellMar>
          <w:top w:w="28" w:type="dxa"/>
          <w:left w:w="28" w:type="dxa"/>
          <w:bottom w:w="28" w:type="dxa"/>
          <w:right w:w="28" w:type="dxa"/>
        </w:tblCellMar>
      </w:tblPr>
      <w:tblGrid>
        <w:gridCol w:w="1969"/>
        <w:gridCol w:w="1726"/>
        <w:gridCol w:w="1735"/>
        <w:gridCol w:w="247"/>
        <w:gridCol w:w="721"/>
        <w:gridCol w:w="127"/>
        <w:gridCol w:w="109"/>
        <w:gridCol w:w="109"/>
        <w:gridCol w:w="109"/>
        <w:gridCol w:w="247"/>
        <w:gridCol w:w="721"/>
        <w:gridCol w:w="127"/>
        <w:gridCol w:w="109"/>
        <w:gridCol w:w="154"/>
      </w:tblGrid>
      <w:tr>
        <w:trPr/>
        <w:tc>
          <w:tcPr>
            <w:tcW w:w="196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at beginning of year</w:t>
            </w:r>
          </w:p>
        </w:tc>
        <w:tc>
          <w:tcPr>
            <w:tcW w:w="247"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27"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27"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balances related to tax positions taken in prior years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balances related to tax positions taken in prior years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balances related to tax positions taken in current year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at end of year</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follow the guidance for accounting for uncertainty in income taxes in accordance with FASB ASC 740, which clarifies uncertainty in income taxes recognized in an enterprise’s financial statements. The standard also prescribes a recognition threshold and measurement standard for the financial statement recognition and measurement of an income tax position taken, or expected to be taken, in an income tax return. Only tax positions that meet the more likely than not recognition threshold may be recognized. In addition, the standard provides guidance on derecognition, classification, interest and penalties, accounting in interim periods, and disclosure. As of December 31, 2025 and 2024, the balance of unrecognized tax benefits of $1.8 million and $1.8 million, respectively, relate to tax credits that, if recognized, would be in the form of a carryforward which is expected to require a full valuation allowance based on present circumstances. Therefore, these unrecognized tax benefits would not have an effect on the effective tax rate. The unrecognized tax benefits are not expected to materially change in the next twelve months. The total amounts of interest and penalties recognized for the years ended December 31, 2025 and 2024 were not material. Our tax years for 2019 through 2024 are still subject to examination by the tax authorities.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income tax net operating loss carryforwards for our U.S. federal, state, and foreign operations of approximately $367.8 million, $278.4 million, and $12.0 million respectively. At December 31, 2024, we had income tax net operating loss carryforwards for our U.S. federal, state, and foreign operations of approximately $248.4 million, $215.4 million, and $7.7 million, respectively. The federal tax loss carryforwards do not expire. The state and foreign tax loss carryforwards will begin to expire in 2026 and 2029,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we had federal and state research and development credit carryforwards of $4.0 million and $2.9 million, respectively. The federal tax credit carryforwards will begin to expire in 2036. The state tax credit carryforwards do not expire.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Utilization of some of the federal and state NOL and credit carryforwards are subject to annual limitations due to the “change in ownership” provisions of the IRC and similar state provisions. We do not anticipate these limitations, if any, will significantly impact our ability to utilize the NOLs and tax credit carryforwards.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for the year ended December 31, 2025 and have included the following table as a result of our adoption, which presents income taxes paid (net of refunds received) for the year ended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tbl>
      <w:tblPr>
        <w:tblW w:w="3089" w:type="dxa"/>
        <w:jc w:val="left"/>
        <w:tblInd w:w="0" w:type="dxa"/>
        <w:tblLayout w:type="fixed"/>
        <w:tblCellMar>
          <w:top w:w="28" w:type="dxa"/>
          <w:left w:w="28" w:type="dxa"/>
          <w:bottom w:w="28" w:type="dxa"/>
          <w:right w:w="28" w:type="dxa"/>
        </w:tblCellMar>
      </w:tblPr>
      <w:tblGrid>
        <w:gridCol w:w="706"/>
        <w:gridCol w:w="621"/>
        <w:gridCol w:w="622"/>
        <w:gridCol w:w="259"/>
        <w:gridCol w:w="499"/>
        <w:gridCol w:w="382"/>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Taxes:</w:t>
            </w:r>
          </w:p>
        </w:tc>
        <w:tc>
          <w:tcPr>
            <w:tcW w:w="259"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York </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Japan </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paid for taxes</w:t>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income taxes for the year ended December 31, 2024 was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00" w:after="283"/>
        <w:jc w:val="both"/>
        <w:rPr/>
      </w:pPr>
      <w:r>
        <w:rPr>
          <w:rFonts w:ascii="Times New Roman;serif" w:hAnsi="Times New Roman;serif"/>
          <w:b/>
          <w:color w:val="000000"/>
          <w:sz w:val="20"/>
        </w:rPr>
        <w:t>Purchase</w:t>
      </w:r>
      <w:r>
        <w:rPr>
          <w:color w:val="000000"/>
        </w:rPr>
        <w:t xml:space="preserve"> </w:t>
      </w:r>
      <w:r>
        <w:rPr>
          <w:rFonts w:ascii="Times New Roman;serif" w:hAnsi="Times New Roman;serif"/>
          <w:b/>
          <w:color w:val="000000"/>
          <w:sz w:val="20"/>
        </w:rPr>
        <w:t>Commitments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 supplier agreement with Braskem S.A., a Brazilian petrochemical company. The contract requires us, through our manufacturers, to commit to purchase a minimum amount of material per year until 2027. We purchased approximately $0.6 million in material in 2025. The table below shows the future minimum purchase amounts per year:</w:t>
      </w:r>
    </w:p>
    <w:p>
      <w:pPr>
        <w:pStyle w:val="TextBody"/>
        <w:bidi w:val="0"/>
        <w:spacing w:before="0" w:after="0"/>
        <w:jc w:val="both"/>
        <w:rPr/>
      </w:pPr>
      <w:r>
        <w:rPr/>
      </w:r>
    </w:p>
    <w:tbl>
      <w:tblPr>
        <w:tblW w:w="4409" w:type="dxa"/>
        <w:jc w:val="left"/>
        <w:tblInd w:w="0" w:type="dxa"/>
        <w:tblLayout w:type="fixed"/>
        <w:tblCellMar>
          <w:top w:w="28" w:type="dxa"/>
          <w:left w:w="28" w:type="dxa"/>
          <w:bottom w:w="28" w:type="dxa"/>
          <w:right w:w="28" w:type="dxa"/>
        </w:tblCellMar>
      </w:tblPr>
      <w:tblGrid>
        <w:gridCol w:w="1188"/>
        <w:gridCol w:w="1044"/>
        <w:gridCol w:w="1052"/>
        <w:gridCol w:w="242"/>
        <w:gridCol w:w="707"/>
        <w:gridCol w:w="176"/>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Braskem S.A.</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ended December 31,</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purchase commitments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various claims and legal proceedings that arise in the ordinary course of our business activities. Although the outcome of any legal proceedings cannot be predicted with certainty, for the years ended December 31, 2025 and 2024, our ultimate liability, if any, is not expected to have a material effect on our financial position or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2023, and on May 16, 2023, we and certain of our executive officers and directors were named as defendants in two substantially similar securities class action lawsuits, captioned Shnayder v. Allbirds, Inc., et al., Case No. 23-cv-01811-AMO and Delgado v. Allbirds, Inc., et al., Case No. 23-cv-02372-AMO, filed in the United States District Court for the Northern District of California. These lawsuits allege that we violated Sections 10(b) and 20(a) of the Exchange Act and SEC Rule 10b-5, 17 C.F.R. § 240.10b-5, promulgated thereunder, and Sections 11 and 15 of the Securities Act by making materially false and/or misleading statements about our business, operations and prospects. The plaintiffs seek damages in an unspecified amount. On July 25, 2023, the court entered an order consolidating the two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appointing lead plaintiffs, and approving lead plaintiffs’ selection of lead counsel. On September 15, 2023, lead plaintiffs filed a consolidated amended complaint against the same group of defendants and asserting the same claims. On November 3, 2023, we filed a motion to dismiss the consolidated amended complaint and the court granted the motion on May 10, 2024, but provided plaintiffs with leave to amend their complaint. A second amended complaint was filed on June 24, 2024. We filed a motion to dismiss the second amended complaint, which the court granted on June 21, 2025, but provided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plaintiffs leave to amend the complaint. Plaintiffs filed a third amended complaint on July 14, 2025 and we filed a motion to dismiss on August 27, 2025 and full briefing was completed. On February 27, 2026, the consolidated action was dismissed with prejudice. We intend to vigorously defend against this lawsuit.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October 3, 2023, we and certain of our executive officers and directors were named as defendants in a shareholder derivative suit, captioned Park v. Zwillinger, et al., Case No. 23-cv-01092-CFC, filed in the United States District Court for the District of Delaware. This lawsuit alleges violations of Section 14(a) of the Exchange Act, contribution under Section 21D of the Exchange Act, breach of fiduciary duties, and aiding and abetting based on allegations that are substantially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 to those asserted in the securities class action. On October 13, 2023, we and certain of our past and current executive officers and directors were named as defendants in a substantially similar shareholder derivative suit, captioned Junker v. Zwillinger, et al., Case No. 23-cv-01152-CFC, filed in the United States District Court for the District of Delaware. This lawsuit alleges breach of fiduciary duties, unjust enrichment, violations of Section 10(b) of the Exchange Act, contribution under Section 11(f) of the Securities Act and Section 21D of the Exchange Act, and waste of corporate assets based on allegations that are substantially similar to those asserted in the securities class action. These cases are currently stayed pending the outcome of the Shnayder and Delgado cases. We intend to vigorously defend against these lawsuits.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lease various office and retail spaces under non-cancelable operating leases with various expiration dates through fiscal 2033, certain of which contain renewal provisions. These renewal provisions are not reasonably certain to be exercised and therefore are not factored into the determination of lease payments. We have no lease agreements that are classified as finance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recognized as selling, general, and administrative expense in the consolidated statements of operations and comprehensive loss, along with the weighted-average lease term and weighted-average discount rate for operating leases, are as follows:</w:t>
      </w:r>
    </w:p>
    <w:tbl>
      <w:tblPr>
        <w:tblW w:w="6797" w:type="dxa"/>
        <w:jc w:val="left"/>
        <w:tblInd w:w="0" w:type="dxa"/>
        <w:tblLayout w:type="fixed"/>
        <w:tblCellMar>
          <w:top w:w="28" w:type="dxa"/>
          <w:left w:w="28" w:type="dxa"/>
          <w:bottom w:w="28" w:type="dxa"/>
          <w:right w:w="28" w:type="dxa"/>
        </w:tblCellMar>
      </w:tblPr>
      <w:tblGrid>
        <w:gridCol w:w="1493"/>
        <w:gridCol w:w="1311"/>
        <w:gridCol w:w="1320"/>
        <w:gridCol w:w="211"/>
        <w:gridCol w:w="616"/>
        <w:gridCol w:w="271"/>
        <w:gridCol w:w="109"/>
        <w:gridCol w:w="109"/>
        <w:gridCol w:w="109"/>
        <w:gridCol w:w="211"/>
        <w:gridCol w:w="721"/>
        <w:gridCol w:w="316"/>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lease term and discount rate)</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14,831 </w:t>
            </w:r>
          </w:p>
        </w:tc>
        <w:tc>
          <w:tcPr>
            <w:tcW w:w="31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are as follows:</w:t>
      </w:r>
    </w:p>
    <w:p>
      <w:pPr>
        <w:pStyle w:val="TextBody"/>
        <w:bidi w:val="0"/>
        <w:spacing w:before="0" w:after="0"/>
        <w:jc w:val="both"/>
        <w:rPr/>
      </w:pPr>
      <w:r>
        <w:rPr/>
      </w:r>
    </w:p>
    <w:tbl>
      <w:tblPr>
        <w:tblW w:w="9190" w:type="dxa"/>
        <w:jc w:val="left"/>
        <w:tblInd w:w="0" w:type="dxa"/>
        <w:tblLayout w:type="fixed"/>
        <w:tblCellMar>
          <w:top w:w="28" w:type="dxa"/>
          <w:left w:w="28" w:type="dxa"/>
          <w:bottom w:w="28" w:type="dxa"/>
          <w:right w:w="28" w:type="dxa"/>
        </w:tblCellMar>
      </w:tblPr>
      <w:tblGrid>
        <w:gridCol w:w="2398"/>
        <w:gridCol w:w="2107"/>
        <w:gridCol w:w="2124"/>
        <w:gridCol w:w="222"/>
        <w:gridCol w:w="759"/>
        <w:gridCol w:w="114"/>
        <w:gridCol w:w="109"/>
        <w:gridCol w:w="109"/>
        <w:gridCol w:w="109"/>
        <w:gridCol w:w="221"/>
        <w:gridCol w:w="757"/>
        <w:gridCol w:w="161"/>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22"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12,285 </w:t>
            </w:r>
          </w:p>
        </w:tc>
        <w:tc>
          <w:tcPr>
            <w:tcW w:w="11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19,252 </w:t>
            </w:r>
          </w:p>
        </w:tc>
        <w:tc>
          <w:tcPr>
            <w:tcW w:w="16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Right of use assets obtained in exchange for lease liabilities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 of use assets given up for reduction of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included in our lease liabilities as of December 31, 2025, are as follows:</w:t>
      </w:r>
    </w:p>
    <w:tbl>
      <w:tblPr>
        <w:tblW w:w="5220" w:type="dxa"/>
        <w:jc w:val="left"/>
        <w:tblInd w:w="0" w:type="dxa"/>
        <w:tblLayout w:type="fixed"/>
        <w:tblCellMar>
          <w:top w:w="28" w:type="dxa"/>
          <w:left w:w="28" w:type="dxa"/>
          <w:bottom w:w="28" w:type="dxa"/>
          <w:right w:w="28" w:type="dxa"/>
        </w:tblCellMar>
      </w:tblPr>
      <w:tblGrid>
        <w:gridCol w:w="1378"/>
        <w:gridCol w:w="1211"/>
        <w:gridCol w:w="1221"/>
        <w:gridCol w:w="274"/>
        <w:gridCol w:w="936"/>
        <w:gridCol w:w="200"/>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ended December 31,</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discount</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lease liabilities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Net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compute net loss per share using the two-class method required for participating securities and multiple classes of common stock. The two-class method requires net income or loss be allocated between common stock and participating securities based upon their respective rights to receive dividends as if all income or loss for the period had been distributed. The rights, including the liquidation and dividend rights and sharing of losses of the Class A common stock and Class B common stock are identical, other than voting, transfer, and conversion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for the periods presented:</w:t>
      </w:r>
    </w:p>
    <w:tbl>
      <w:tblPr>
        <w:tblW w:w="10205" w:type="dxa"/>
        <w:jc w:val="left"/>
        <w:tblInd w:w="0" w:type="dxa"/>
        <w:tblLayout w:type="fixed"/>
        <w:tblCellMar>
          <w:top w:w="28" w:type="dxa"/>
          <w:left w:w="28" w:type="dxa"/>
          <w:bottom w:w="28" w:type="dxa"/>
          <w:right w:w="28" w:type="dxa"/>
        </w:tblCellMar>
      </w:tblPr>
      <w:tblGrid>
        <w:gridCol w:w="2815"/>
        <w:gridCol w:w="2283"/>
        <w:gridCol w:w="2301"/>
        <w:gridCol w:w="211"/>
        <w:gridCol w:w="787"/>
        <w:gridCol w:w="109"/>
        <w:gridCol w:w="109"/>
        <w:gridCol w:w="109"/>
        <w:gridCol w:w="109"/>
        <w:gridCol w:w="211"/>
        <w:gridCol w:w="787"/>
        <w:gridCol w:w="109"/>
        <w:gridCol w:w="109"/>
        <w:gridCol w:w="156"/>
      </w:tblGrid>
      <w:tr>
        <w:trPr/>
        <w:tc>
          <w:tcPr>
            <w:tcW w:w="281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shares of preferred stock and common stock were excluded from the computation of diluted net loss per share attributable to common stockholders for the periods presented, because including them would have been antidilutive:</w:t>
      </w:r>
    </w:p>
    <w:tbl>
      <w:tblPr>
        <w:tblW w:w="5749" w:type="dxa"/>
        <w:jc w:val="left"/>
        <w:tblInd w:w="0" w:type="dxa"/>
        <w:tblLayout w:type="fixed"/>
        <w:tblCellMar>
          <w:top w:w="28" w:type="dxa"/>
          <w:left w:w="28" w:type="dxa"/>
          <w:bottom w:w="28" w:type="dxa"/>
          <w:right w:w="28" w:type="dxa"/>
        </w:tblCellMar>
      </w:tblPr>
      <w:tblGrid>
        <w:gridCol w:w="897"/>
        <w:gridCol w:w="787"/>
        <w:gridCol w:w="791"/>
        <w:gridCol w:w="488"/>
        <w:gridCol w:w="488"/>
        <w:gridCol w:w="366"/>
        <w:gridCol w:w="109"/>
        <w:gridCol w:w="109"/>
        <w:gridCol w:w="109"/>
        <w:gridCol w:w="488"/>
        <w:gridCol w:w="488"/>
        <w:gridCol w:w="366"/>
        <w:gridCol w:w="109"/>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487,427 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491,544 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anti-dilutive securities </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1,051,103 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1,069,762 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15.    Benefit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sponsor a 401(k) defined contribution plan covering eligible employees who elect to participate. We are allowed to make discretionary profit sharing and matching contributions as defined in the plan and as approved by our board of directors. No discretionary profit-sharing contributions were made for the years ended December 31, 2025 and 2024. We made $0.8 million and $1.1 million in matching contributions for the years ended December 31, 2025 and 2024, respectively. We have no intention to terminate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closed its remaining full-price retail stores in the United States and conducted a reduction in force as a result of the closures. The Company is currently continuing to operate two outlet stores in the United States and two full-price stores in London.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 Sale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March 29, 2026 the Company entered into an Asset Purchase Agreement with an unrelated third-party, American Exchange Group (the “Purchaser”), to sell substantially all of the assets and certain liabilities of the Company (the “Asset Sale”) as previously disclosed in its Form 8-K filed with the SEC on March 30, 2026. As consideration for the Asset Sale, the Purchaser has agreed to pay an aggregate purchase price of $39 million in cash upon the closing of the Asset Sale, subject to standard purchase price adjustments as set forth in the Asset Purchase Agreement. The Asset Purchase Agreement, the Asset Sale and the other transactions contemplated by the Asset Purchase Agreement have been negotiated and approved by a special committee of independent directors of the board of directors of the Company (the “Board”) and have received unanimous approval by the full Board. The Asset Purchase Agreement, the Asset Sale and other transactions contemplated by the Asset Purchase Agreement must also be approved by the Company’s stockholders as a condition to the closing of the transaction. The Asset Sale is expected to close in the second quarter of 2026. Following the closing of the Asset Sale, the Company intends to dissolve and distribute proceeds to its stockholders in accordance with the terms of a Certificate of Dissolution and Plan of Distribution.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Credit Agreement Amendment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29, 2026, the Company and Second Avenue Capital Partners LLC entered into a Consent and First Amendment to Credit Agreement, which provides consent to the Company’s entry into the Asset Sale and amends certain terms in the Credit Agreement, as previously disclosed in its Form 8-K filed with the SEC on March 30, 2026. The First Amendment to Credit Agreement among other things, (i) lowers the minimum amount of Unrestricted Cash required to be held by the Company and its Subsidiaries to avoid the commencement of a Cash Dominion Period from $10,000,000 to $7,500,000, (ii) increases the basket for Indebtedness consisting of reimbursement obligations in respect of the Existing Cash Collateralized Letter of Credit from $855,000 to $1,206,905, (iii) increases the unsecured Indebtedness basket from $2,500,000 to $11,000,000, (iv) extends the delivery date for the Consolidated Statements for the Fiscal Year ended December 31, 2025 from March 31, 2026 to April 15, 2026, (v) requires delivery by Borrower of certain financial and other information with respect to the Asset Sale, and (vi) replaces the Minimum Consolidated EBITDA financial covenant, and corresponding equity cure right, with a minimum Consolidated Liquidity financial covenant.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Retention Plan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30, 2026, the Management Compensation and Leadership Committee (the “Compensation Committee”) of the Board approved an executive retention program (the “Executive Retention Plan”) for certain senior-level executives. The Company will need to continue to operate its business until the closing of the Asset Sale (the “Closing”), and the Compensation Committee approved the Executive Retention Plan in recognition of the significant benefits to the Company of retaining such executives to continue assisting the Company in its operations through the Closing.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Executive Retention Plan provides for a lump sum, one-time cash payment, less applicable tax withholdings, on the next administratively practicable payroll date in the following amounts: $500,000 for Joseph Vernachio, and $400,000 for Ann Mitchell (each, an “Executive Awards”). The Executive Awards are subject to a “clawback” requirement, which provides that each Executive must repay the net (after-tax) amount of their respective Executive Award if such Executive voluntarily terminates their employment with the Company prior to the date of the Closing. The Executive Retention Plan supersedes all oral or written plans, programs, agreements and policies of the Company and its affiliates with respect to the subject matter of the Executive Retention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Tariffs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ALLBIRDS,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 AND 2024 AND FOR THE YEARS ENDED DECEMBER 31, 2025, AND 2024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held in Learning Resources, Inc. v. Trump that the International Emergency Economic Powers Act ("IEEPA") does not authorize a U.S. President to impose tariffs during peacetime national emergencies and that the challenge to the legality of the tariffs imposed under IEEPA (the "incremental tariffs") was within the exclusive jurisdiction of the U.S. Court of International Trade ("CIT"), thus affirming the prior decision of the CIT in V.O.S. Selections, Inc. v. United States. As a result, on February 20, 2026, the U.S. President issued an executive order stating that the incremental tariffs were no longer in effect and ending the collection of the incremental tariffs. However, the U.S. President then issued an additional executive order imposing tariffs pursuant to Section 122 of the Trade Act of 1974 for 150 days, effective on February 24, 2026. The Company is currently assessing the impact of these actions on its operations and consolidated financial statements, including its ability to recover incremental tariffs the Company has paid.</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December 31, 2025,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and under the Exchange Act). Our management, including our principal executive officer and principal financial officer, has assessed the effectiveness of our internal control over financial reporting as of December 31, 2025, based on the framework set forth in Internal Control-Integrated Framework (2013), issued by the Committee of Sponsoring Organizations of the Treadway Commission (COSO).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management concluded that our internal control over financial reporting was effective as of December 31,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independent registered public accounting firm, Deloitte &amp; Touche LLP, was not required to perform an evaluation of our internal control over financial reporting as of December 31, 2025, because as an “emerging growth company”, we are exempt from Section 404(b) of the Sarbanes-Oxley Act of 2002.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Inherent Limitation on Effectiveness of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our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director or Section 16 officer of the Company adopted or terminated a “Rule 10b5-1 trading arrangement” or “non-Rule 10b5-1 trading arrangement,” as each term is defined in Item 408(a) of Regulation S-K, during the three months ended December 31, 2025.</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the Executive Retention Plan in Part II, Item 8, Note 16 is incorporated by reference into this Part II, Item 9B.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6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 forth below are the names, ages, and length of service of the members of our Board.</w:t>
      </w:r>
    </w:p>
    <w:tbl>
      <w:tblPr>
        <w:tblW w:w="7796"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160"/>
        <w:gridCol w:w="160"/>
        <w:gridCol w:w="161"/>
        <w:gridCol w:w="109"/>
        <w:gridCol w:w="109"/>
        <w:gridCol w:w="109"/>
        <w:gridCol w:w="169"/>
        <w:gridCol w:w="169"/>
        <w:gridCol w:w="171"/>
        <w:gridCol w:w="109"/>
        <w:gridCol w:w="109"/>
        <w:gridCol w:w="109"/>
        <w:gridCol w:w="359"/>
        <w:gridCol w:w="359"/>
        <w:gridCol w:w="361"/>
        <w:gridCol w:w="109"/>
        <w:gridCol w:w="109"/>
        <w:gridCol w:w="109"/>
        <w:gridCol w:w="419"/>
        <w:gridCol w:w="419"/>
        <w:gridCol w:w="421"/>
        <w:gridCol w:w="109"/>
        <w:gridCol w:w="109"/>
        <w:gridCol w:w="109"/>
        <w:gridCol w:w="346"/>
        <w:gridCol w:w="346"/>
        <w:gridCol w:w="492"/>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Continuing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6"/>
              </w:rPr>
              <w:t>Age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Position(s)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 Since</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Lily Yan 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 Levitan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Zwillinger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2015</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Joe Vernachio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Dick Boyce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Timothy Brown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Ravi Thanawala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bl>
    <w:p>
      <w:pPr>
        <w:pStyle w:val="TextBody"/>
        <w:bidi w:val="0"/>
        <w:spacing w:lineRule="auto" w:line="333" w:before="0" w:after="0"/>
        <w:jc w:val="both"/>
        <w:rPr>
          <w:color w:val="000000"/>
          <w:u w:val="single"/>
        </w:rPr>
      </w:pPr>
      <w:r>
        <w:rPr>
          <w:color w:val="000000"/>
          <w:u w:val="single"/>
        </w:rPr>
        <w:t>    </w:t>
      </w:r>
    </w:p>
    <w:p>
      <w:pPr>
        <w:pStyle w:val="TextBody"/>
        <w:bidi w:val="0"/>
        <w:spacing w:lineRule="auto" w:line="333"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March 30, 2026.</w:t>
      </w:r>
    </w:p>
    <w:p>
      <w:pPr>
        <w:pStyle w:val="TextBody"/>
        <w:bidi w:val="0"/>
        <w:spacing w:lineRule="auto" w:line="268" w:before="240" w:after="240"/>
        <w:jc w:val="both"/>
        <w:rPr/>
      </w:pPr>
      <w:r>
        <w:rPr>
          <w:rFonts w:ascii="Times New Roman;serif" w:hAnsi="Times New Roman;serif"/>
          <w:b w:val="false"/>
          <w:color w:val="000000"/>
          <w:sz w:val="20"/>
        </w:rPr>
        <w:t>The principal occupation, b</w:t>
      </w:r>
      <w:r>
        <w:rPr>
          <w:rFonts w:ascii="Times New Roman;serif" w:hAnsi="Times New Roman;serif"/>
          <w:b w:val="false"/>
          <w:color w:val="000000"/>
          <w:sz w:val="20"/>
          <w:shd w:fill="FFFFFF" w:val="clear"/>
        </w:rPr>
        <w:t>usiness experience, and education of each director are set forth below.</w:t>
      </w:r>
    </w:p>
    <w:p>
      <w:pPr>
        <w:pStyle w:val="TextBody"/>
        <w:bidi w:val="0"/>
        <w:spacing w:lineRule="auto" w:line="288" w:before="240" w:after="240"/>
        <w:jc w:val="both"/>
        <w:rPr/>
      </w:pPr>
      <w:r>
        <w:rPr>
          <w:rFonts w:ascii="Times New Roman;serif" w:hAnsi="Times New Roman;serif"/>
          <w:b/>
          <w:i/>
          <w:color w:val="000000"/>
          <w:sz w:val="20"/>
        </w:rPr>
        <w:t>Lily Yan Hughes.</w:t>
      </w:r>
      <w:r>
        <w:rPr>
          <w:color w:val="000000"/>
        </w:rPr>
        <w:t xml:space="preserve"> </w:t>
      </w:r>
      <w:r>
        <w:rPr>
          <w:rFonts w:ascii="Times New Roman;serif" w:hAnsi="Times New Roman;serif"/>
          <w:b w:val="false"/>
          <w:color w:val="000000"/>
          <w:sz w:val="20"/>
        </w:rPr>
        <w:t>Ms. Hughes has served as a member of our Board of Directors since October 2025. Ms. Hughes currently serves as Assistant Dean at Syracuse University College of Law. She previously held positions as Senior Vice President, Chief Legal Officer and Corporate Secretary at Arrow Electronics, Inc. and Public Storage. Prior to that, Ms. Hughes was Vice President, Associate General Counsel-Corporate M&amp;A and Finance for Ingram Micro, Inc. Earlier in her career, she was a Corporate and Securities Partner with the national law firm of Manatt, Phelps &amp; Philips. Ms. Hughes has served on the Board of DirectWomen since 2021, where she is currently Chair. She previously held Board positions with the Association of Corporate Counsel and NUBURU, Inc., where she chaired the Nominating and Governance Committee and served on the Audit and Compensation Committees. She holds a B.A. from the University of California, Berkeley and a J.D. from the University of California, Berkeley School of Law. Ms. Hughes was selected to serve on our Board of Directors because of her broad range of expertise, spanning technology, distribution, real estate, capital markets and governance, and her proven leadership and board experience.</w:t>
      </w:r>
    </w:p>
    <w:p>
      <w:pPr>
        <w:pStyle w:val="TextBody"/>
        <w:bidi w:val="0"/>
        <w:spacing w:lineRule="auto" w:line="268" w:before="240" w:after="240"/>
        <w:jc w:val="both"/>
        <w:rPr/>
      </w:pPr>
      <w:r>
        <w:rPr>
          <w:rFonts w:ascii="Times New Roman;serif" w:hAnsi="Times New Roman;serif"/>
          <w:b/>
          <w:i/>
          <w:color w:val="000000"/>
          <w:sz w:val="20"/>
        </w:rPr>
        <w:t>Dan Levitan.</w:t>
      </w:r>
      <w:r>
        <w:rPr>
          <w:color w:val="000000"/>
        </w:rPr>
        <w:t xml:space="preserve"> </w:t>
      </w:r>
      <w:r>
        <w:rPr>
          <w:rFonts w:ascii="Times New Roman;serif" w:hAnsi="Times New Roman;serif"/>
          <w:b w:val="false"/>
          <w:color w:val="000000"/>
          <w:sz w:val="20"/>
        </w:rPr>
        <w:t>Mr. Levitan has served as a member of our Board of Directors since July 2016. Mr. Levitan is a Managing Member of Maveron LLC (“Maveron”), a venture capital firm, which he co-founded in January 1998. Mr. Levitan served as a member of the board of directors of Trupanion, Inc., a publicly traded pet insurance provider from April 2007 to June 2024. Mr. Levitan currently serves on the boards of directors of numerous private companies and non-profit organizations. Mr. Levitan holds a B.A. in history from Duke University and an M.B.A. from Harvard Business School. Mr. Levitan was selected to serve on our Board of Directors because of his extensive board service and venture investment experience.</w:t>
      </w:r>
    </w:p>
    <w:p>
      <w:pPr>
        <w:pStyle w:val="TextBody"/>
        <w:bidi w:val="0"/>
        <w:spacing w:lineRule="auto" w:line="268" w:before="240" w:after="240"/>
        <w:jc w:val="both"/>
        <w:rPr/>
      </w:pPr>
      <w:r>
        <w:rPr>
          <w:rFonts w:ascii="Times New Roman;serif" w:hAnsi="Times New Roman;serif"/>
          <w:b/>
          <w:i/>
          <w:color w:val="000000"/>
          <w:sz w:val="20"/>
        </w:rPr>
        <w:t>Joseph Zwillinger.</w:t>
      </w:r>
      <w:r>
        <w:rPr>
          <w:color w:val="000000"/>
        </w:rPr>
        <w:t xml:space="preserve"> </w:t>
      </w:r>
      <w:r>
        <w:rPr>
          <w:rFonts w:ascii="Times New Roman;serif" w:hAnsi="Times New Roman;serif"/>
          <w:b w:val="false"/>
          <w:color w:val="000000"/>
          <w:sz w:val="20"/>
        </w:rPr>
        <w:t>Mr. Zwillinger has served as a member of our Board of Directors since he co-founded our company in May 2015. Mr. Zwillinger previously served as our Chief Executive Officer from May 2023 to March 2024, as our Co-Chief Executive Officer from October 2015 to May 2023, and as our President from the founding of the company in May 2015 to March 2024. Mr. Zwillinger is currently a General Partner at Good Friends, LLC, an early-stage venture capital firm that he co-founded. Prior to co-founding Allbirds, Mr. Zwillinger served as Vice President of Industrial Products at TerraVia Holdings, Inc. (formerly Solazyme, Inc.), a biotechnology company from 2009 to 2015. Mr. Zwillinger served on the board of directors of Big Sky Growth Partners, Inc., a publicly traded special purpose acquisition corporation, from April 2021 to December 2022. Mr. Zwillinger holds a B.S. in Industrial Engineering and Operations Research from the University of California, Berkeley and an M.B.A. with honors from The Wharton School of the University of Pennsylvania. Mr. Zwillinger was selected to serve on our Board of Directors because of the perspective and experience he brings as our co-founder as well as his management experience.</w:t>
      </w:r>
    </w:p>
    <w:p>
      <w:pPr>
        <w:pStyle w:val="TextBody"/>
        <w:bidi w:val="0"/>
        <w:spacing w:lineRule="auto" w:line="268" w:before="240" w:after="240"/>
        <w:jc w:val="both"/>
        <w:rPr/>
      </w:pPr>
      <w:r>
        <w:rPr>
          <w:rFonts w:ascii="Times New Roman;serif" w:hAnsi="Times New Roman;serif"/>
          <w:b/>
          <w:i/>
          <w:color w:val="000000"/>
          <w:sz w:val="20"/>
        </w:rPr>
        <w:t>Joe Vernachio.</w:t>
      </w:r>
      <w:r>
        <w:rPr>
          <w:color w:val="000000"/>
        </w:rPr>
        <w:t xml:space="preserve"> </w:t>
      </w:r>
      <w:r>
        <w:rPr>
          <w:rFonts w:ascii="Times New Roman;serif" w:hAnsi="Times New Roman;serif"/>
          <w:b w:val="false"/>
          <w:color w:val="000000"/>
          <w:sz w:val="20"/>
        </w:rPr>
        <w:t xml:space="preserve">Mr. Vernachio has served as a member of our Board of Directors and as our President, Chief Executive Officer and Secretary since March 2024. From June 2021 to March 2024, Mr. Vernachio served as our Chief Operating Officer. From April 2017 to May 2021, Mr. Vernachio served as President of Mountain Hardwear, Inc., an outdoor apparel, equipment, and accessories company, where he led all aspects of Mountain Hardwear’s global business, including brand positioning, go-to-market strategies, and execution across all distribution channels. From March 2011 to March 2017, Mr. Vernachio served in several roles at The North Face, an outdoor products company and subsidiary of VF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including most recently as Vice President of Global Product from July 2012 to March 2017, in which role he oversaw the brand’s apparel, footwear, and equipment across all regions. Mr. Vernachio holds an A.S. in Forest Sciences and Biology from Paul Smith’s College. Mr. Vernachio was selected to serve on our Board of Directors because of his management experience in the retail industry.</w:t>
      </w:r>
    </w:p>
    <w:p>
      <w:pPr>
        <w:pStyle w:val="TextBody"/>
        <w:bidi w:val="0"/>
        <w:spacing w:lineRule="auto" w:line="268" w:before="240" w:after="240"/>
        <w:jc w:val="both"/>
        <w:rPr/>
      </w:pPr>
      <w:r>
        <w:rPr>
          <w:rFonts w:ascii="Times New Roman;serif" w:hAnsi="Times New Roman;serif"/>
          <w:b/>
          <w:i/>
          <w:color w:val="000000"/>
          <w:sz w:val="20"/>
        </w:rPr>
        <w:t>Dick Boyce</w:t>
      </w:r>
      <w:r>
        <w:rPr>
          <w:rFonts w:ascii="Times New Roman;serif" w:hAnsi="Times New Roman;serif"/>
          <w:b w:val="false"/>
          <w:color w:val="000000"/>
          <w:sz w:val="20"/>
        </w:rPr>
        <w:t>. Mr. Boyce has served as a member of our Board of Directors since December 2016. Mr. Boyce is a former partner at TPG Capital, one of the largest global investment partnerships, where he founded and led TPG’s Operating Group from 1997, in which capacity he served on several public company boards of directors, until his retirement in 2013. Mr. Boyce has served as an advisor to Montana Knife Company, a retail company, since June 2021, Proteus Motion Inc. (formerly Boston Biomotion), an intelligent exercise and rehab equipment company, since April 2019, Altamont Capital Partners, a private equity firm, since 2016, and Solamere Capital, LLC, a private equity firm, since 2015. Mr. Boyce also served on the board of directors of Executive Network Partnering Corp., a publicly traded special purpose acquisition corporation, from August 2020 to October 2022. Mr. Boyce previously served as an advisor to Spyce Food Co., an innovative restaurant automation company, from October 2019 to September 2021. Mr. Boyce holds a B.S.E from Princeton University and an M.B.A from Stanford Graduate School of Business. Mr. Boyce was selected to serve on our Board of Directors because of his extensive experience in operations management, investment, and private equity across a spectrum from early stage to large cap companies.</w:t>
      </w:r>
    </w:p>
    <w:p>
      <w:pPr>
        <w:pStyle w:val="TextBody"/>
        <w:bidi w:val="0"/>
        <w:spacing w:lineRule="auto" w:line="268" w:before="240" w:after="240"/>
        <w:jc w:val="both"/>
        <w:rPr/>
      </w:pPr>
      <w:r>
        <w:rPr>
          <w:rFonts w:ascii="Times New Roman;serif" w:hAnsi="Times New Roman;serif"/>
          <w:b/>
          <w:i/>
          <w:color w:val="000000"/>
          <w:sz w:val="20"/>
        </w:rPr>
        <w:t>Timothy Brown</w:t>
      </w:r>
      <w:r>
        <w:rPr>
          <w:rFonts w:ascii="Times New Roman;serif" w:hAnsi="Times New Roman;serif"/>
          <w:b w:val="false"/>
          <w:color w:val="000000"/>
          <w:sz w:val="20"/>
        </w:rPr>
        <w:t>. Mr. Brown has served as a member of our Board of Directors since he co-founded our company in May 2015. Since January 2025, Mr. Brown has served as our Co-Founder and Brand Ambassador. From May 2023 through January 2025, Mr. Brown served as our Chief Innovation Officer, from October 2015 through May 2023, he served as our Co-Chief Executive Officer, and from May 2015 to October 2015, Mr. Brown served as our Chief Executive Officer. Prior to co-founding Allbirds, Mr. Brown served as Manager in the Innovation Strategy and Business Development Department at Redscout, a brand consulting firm, from March 2015 to August 2015. In 2010, Mr. Brown was Vice Captain of the New Zealand World Cup football team. Mr. Brown holds a B.S. in Design from the College of Design, Architecture, Art, and Planning at the University of Cincinnati and an M.Sc. in International Management from the London School of Economics and Political Science. Mr. Brown was selected to serve on our Board of Directors because of the perspective and experience he brings as our co-founder, former Chief Innovation Officer and former Co-Chief Executive Officer, as well as his management experience.</w:t>
      </w:r>
    </w:p>
    <w:p>
      <w:pPr>
        <w:pStyle w:val="TextBody"/>
        <w:bidi w:val="0"/>
        <w:spacing w:lineRule="auto" w:line="268" w:before="240" w:after="240"/>
        <w:jc w:val="both"/>
        <w:rPr/>
      </w:pPr>
      <w:r>
        <w:rPr>
          <w:rFonts w:ascii="Times New Roman;serif" w:hAnsi="Times New Roman;serif"/>
          <w:b/>
          <w:i/>
          <w:color w:val="000000"/>
          <w:sz w:val="20"/>
        </w:rPr>
        <w:t>Ravi Thanawala</w:t>
      </w:r>
      <w:r>
        <w:rPr>
          <w:rFonts w:ascii="Times New Roman;serif" w:hAnsi="Times New Roman;serif"/>
          <w:b w:val="false"/>
          <w:color w:val="000000"/>
          <w:sz w:val="20"/>
        </w:rPr>
        <w:t>. Mr. Thanawala has served as a member of our Board of Directors since September 2024. Mr. Thanawala was appointed Chief Financial Officer and President, North America of Papa John’s International in November 2025 after serving as Chief Financial Officer and EVP, International since September 2024. He also served as Chief Financial Officer since July 2023 and as Interim Chief Executive Officer from March 2024 to August 2024 of Papa John’s International. Previously, from October 2016 to July 2023, Mr. Thanawala held positions at Nike, Inc., including Chief Financial Officer of Nike North America, Global VP and CFO of the Converse brand and Global VP of Retail Excellence. Prior to his time at Nike, Inc., Mr. Thanawala spent eight years at ANN INC., holding progressively increasing responsibilities in finance and operations and eventually becoming CFO of the ANN INC. business, a subsidiary of Ascena Retail Group, Inc. Mr. Thanawala holds a B.S. from the NYU Stern School of Business.</w:t>
      </w:r>
    </w:p>
    <w:p>
      <w:pPr>
        <w:pStyle w:val="TextBody"/>
        <w:bidi w:val="0"/>
        <w:spacing w:lineRule="auto" w:line="268" w:before="240" w:after="24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certain information about our executive officers as of March 30, 2026. Our executive officers are appointed by, and serve at the discretion of, our Board of Directors. There are no family relationships among any of our directors or executive officers.</w:t>
      </w:r>
    </w:p>
    <w:tbl>
      <w:tblPr>
        <w:tblW w:w="6370" w:type="dxa"/>
        <w:jc w:val="center"/>
        <w:tblInd w:w="0" w:type="dxa"/>
        <w:tblLayout w:type="fixed"/>
        <w:tblCellMar>
          <w:top w:w="28" w:type="dxa"/>
          <w:left w:w="28" w:type="dxa"/>
          <w:bottom w:w="28" w:type="dxa"/>
          <w:right w:w="28" w:type="dxa"/>
        </w:tblCellMar>
      </w:tblPr>
      <w:tblGrid>
        <w:gridCol w:w="462"/>
        <w:gridCol w:w="404"/>
        <w:gridCol w:w="409"/>
        <w:gridCol w:w="109"/>
        <w:gridCol w:w="109"/>
        <w:gridCol w:w="109"/>
        <w:gridCol w:w="130"/>
        <w:gridCol w:w="130"/>
        <w:gridCol w:w="131"/>
        <w:gridCol w:w="109"/>
        <w:gridCol w:w="109"/>
        <w:gridCol w:w="109"/>
        <w:gridCol w:w="1181"/>
        <w:gridCol w:w="1181"/>
        <w:gridCol w:w="1688"/>
      </w:tblGrid>
      <w:tr>
        <w:trPr/>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Mitchell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Joe Vernachio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Secretary</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biography of Mr. Vernachio is set forth in “Board of Directors” above.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rPr>
        <w:t>Ann Mitchell.</w:t>
      </w:r>
      <w:r>
        <w:rPr>
          <w:color w:val="000000"/>
        </w:rPr>
        <w:t xml:space="preserve"> </w:t>
      </w:r>
      <w:r>
        <w:rPr>
          <w:rFonts w:ascii="Times New Roman;serif" w:hAnsi="Times New Roman;serif"/>
          <w:b w:val="false"/>
          <w:color w:val="000000"/>
          <w:sz w:val="20"/>
        </w:rPr>
        <w:t xml:space="preserve">Ms. Mitchell has served as our Chief Financial Officer since April 2023. From June 2021 to March 2023, Ms. Mitchell served as the Vice President of Finance &amp; Insights for Gymshark, a fitness apparel and accessories brand, manufacturer, and retailer, where she led the financial strategy for the North American region, oversaw the finance, analytics, and research functions, and was a senior member of the leadership team. Prior to Gymshark, Ms. Mitchell spent almost ten years (May 2011 to March 2021) with adidas, a global footwear and apparel company, where she served in progressively senior financial leadership roles. In her most recent role at adidas, she was the Senior Vice President of Finance (CFO) for adidas North America (August 2017 to March 2021), where she was a key member of the senior leadership team and was responsible for driving the strategic growth of the region. Her responsibilities included leading the finance, demand planning, accounting, and controlling functions. Ms. Mitchell holds a B.A. in Economics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University of Puget Sound and an M.B.A. and an M.Sc. in Finance from the University of Denver Daniels College of Business.</w:t>
      </w:r>
    </w:p>
    <w:p>
      <w:pPr>
        <w:pStyle w:val="TextBody"/>
        <w:bidi w:val="0"/>
        <w:spacing w:lineRule="auto" w:line="268" w:before="24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6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16(a) of the Exchange Act requires our executive officers and directors and persons who beneficially own more than 10% of a registered class of our equity securities to file initial reports of ownership and reports of changes in ownership of such securities with the SEC. Based on a review of these reports as filed electronically with the SEC together with written representations by our executive officers and directors, we believe that all of our executive officers, directors, and 10% owners timely complied with all Section 16(a) filing requirements for fiscal 2025, except for one Form 4 in November 2025 for Ms. Hughes related to the initial equity award to her in accordance with the Company's Non-Employee Director Compensation Policy that was filed late due to an administrative process delay. </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68" w:before="240" w:after="240"/>
        <w:ind w:left="0" w:right="0" w:firstLine="720"/>
        <w:jc w:val="both"/>
        <w:rPr/>
      </w:pPr>
      <w:r>
        <w:rPr>
          <w:rFonts w:ascii="Times New Roman;serif" w:hAnsi="Times New Roman;serif"/>
          <w:b w:val="false"/>
          <w:color w:val="000000"/>
          <w:sz w:val="20"/>
        </w:rPr>
        <w:t xml:space="preserve">The Company has adopted the Allbirds Code of Business Conduct and Ethics that applies to all officers, directors, and employees. The Code of Business Conduct and Ethics is available on the Company’s website at </w:t>
      </w:r>
      <w:r>
        <w:rPr>
          <w:rFonts w:ascii="Times New Roman;serif" w:hAnsi="Times New Roman;serif"/>
          <w:b w:val="false"/>
          <w:i/>
          <w:color w:val="000000"/>
          <w:sz w:val="20"/>
        </w:rPr>
        <w:t>ir.allbirds.com</w:t>
      </w:r>
      <w:r>
        <w:rPr>
          <w:rFonts w:ascii="Times New Roman;serif" w:hAnsi="Times New Roman;serif"/>
          <w:b w:val="false"/>
          <w:color w:val="000000"/>
          <w:sz w:val="20"/>
        </w:rPr>
        <w:t>. Information contained on, or that can be accessed through, our website is not incorporated by reference into this Annual Report on Form 10-K and references to our website address herein are inactive textual references only. If the Company ever were to amend or waive any provision of its Code of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68" w:before="240" w:after="240"/>
        <w:ind w:left="0" w:right="0" w:firstLine="720"/>
        <w:jc w:val="both"/>
        <w:rPr/>
      </w:pPr>
      <w:r>
        <w:rPr>
          <w:rFonts w:ascii="Times New Roman;serif" w:hAnsi="Times New Roman;serif"/>
          <w:b w:val="false"/>
          <w:color w:val="000000"/>
          <w:sz w:val="20"/>
        </w:rPr>
        <w:t xml:space="preserve">Our Board of Directors has documented our governance practices by adopting Corporate Governance Guidelines to assure that the Board will have the necessary authority and will have the necessary authority and practices in place to review and evaluate our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performance evaluation of the Chief Executive Officer and succession planning, and board committees and compensation. The Corporate Governance Guidelines may be viewed on the Company’s website at </w:t>
      </w:r>
      <w:r>
        <w:rPr>
          <w:rFonts w:ascii="Times New Roman;serif" w:hAnsi="Times New Roman;serif"/>
          <w:b w:val="false"/>
          <w:i/>
          <w:color w:val="000000"/>
          <w:sz w:val="20"/>
        </w:rPr>
        <w:t>ir.allbirds.com</w:t>
      </w:r>
      <w:r>
        <w:rPr>
          <w:rFonts w:ascii="Times New Roman;serif" w:hAnsi="Times New Roman;serif"/>
          <w:b w:val="false"/>
          <w:color w:val="000000"/>
          <w:sz w:val="20"/>
        </w:rPr>
        <w:t>.</w:t>
      </w:r>
    </w:p>
    <w:p>
      <w:pPr>
        <w:pStyle w:val="TextBody"/>
        <w:bidi w:val="0"/>
        <w:spacing w:lineRule="auto" w:line="268" w:before="240" w:after="240"/>
        <w:jc w:val="both"/>
        <w:rPr>
          <w:rFonts w:ascii="Times New Roman;serif" w:hAnsi="Times New Roman;serif"/>
          <w:b/>
          <w:color w:val="000000"/>
          <w:sz w:val="20"/>
        </w:rPr>
      </w:pPr>
      <w:r>
        <w:rPr>
          <w:rFonts w:ascii="Times New Roman;serif" w:hAnsi="Times New Roman;serif"/>
          <w:b/>
          <w:color w:val="000000"/>
          <w:sz w:val="20"/>
        </w:rPr>
        <w:t>ANTI-HEDGING AND ANTI-PLEDGING POLICIES</w:t>
      </w:r>
    </w:p>
    <w:p>
      <w:pPr>
        <w:pStyle w:val="TextBody"/>
        <w:bidi w:val="0"/>
        <w:spacing w:lineRule="auto" w:line="26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insider trading policy and pledging policy limit the timing and types of transactions in Allbirds securities by executive officers, including our named executive officers, employees, and members of our Board of Directors. Specifically, (1) purchasing the Company’s common stock on margin or holding it in a margin account at any time; (2) hedging or monetization transactions, including through the use of financial instruments such as prepaid variable forwards, equity swaps, collars, and exchange funds; (3) trading in derivative securities related to Company common stock, including publicly traded call and put options; and (4) short sales, are prohibited. Employees and members of our Board may not pledge the Company’s securities as collateral for a loan, subject to limited exceptions as described below. Executive officers may not, directly or indirectly, hold the Company’s securities in a margin account or otherwise pledge the Company’s securities as collateral for a loan without prior approval by the Compliance Officer. An executive officer wishing to pledge the Company’s securities as collateral for a loan or series of loans and clearly demonstrating the financial capacity to repay the loan(s) without resort to the pledged securities, and where the pledge represents no greater than 33% of all securities then held by the executive officer, may submit a request for pre-approval to the Compliance Officer, who will review the request and grant the exception if the Compliance Officer deems it to be in the best interest of the Company.</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68" w:before="240" w:after="240"/>
        <w:ind w:left="0" w:right="0" w:firstLine="720"/>
        <w:jc w:val="both"/>
        <w:rPr/>
      </w:pPr>
      <w:r>
        <w:rPr>
          <w:rFonts w:ascii="Times New Roman;serif" w:hAnsi="Times New Roman;serif"/>
          <w:b w:val="false"/>
          <w:color w:val="000000"/>
          <w:sz w:val="20"/>
          <w:shd w:fill="FFFFFF" w:val="clear"/>
        </w:rPr>
        <w:t xml:space="preserve">The Company adopted an Insider Trading Policy in September 2021 The Insider Trading policy governs the purchase, sale, and other disposition of securities by directors, officers, employees and the Company itself. </w:t>
      </w:r>
      <w:r>
        <w:rPr>
          <w:rFonts w:ascii="Times New Roman;serif" w:hAnsi="Times New Roman;serif"/>
          <w:b w:val="false"/>
          <w:color w:val="000000"/>
          <w:sz w:val="20"/>
        </w:rPr>
        <w:t>This policy is filed as Exhibit 19.1 to this Annual Report on Form 10-K.</w:t>
      </w:r>
    </w:p>
    <w:p>
      <w:pPr>
        <w:pStyle w:val="TextBody"/>
        <w:bidi w:val="0"/>
        <w:spacing w:lineRule="auto" w:line="268" w:before="240" w:after="240"/>
        <w:jc w:val="both"/>
        <w:rPr>
          <w:rFonts w:ascii="Times New Roman;serif" w:hAnsi="Times New Roman;serif"/>
          <w:b/>
          <w:color w:val="000000"/>
          <w:sz w:val="20"/>
        </w:rPr>
      </w:pPr>
      <w:r>
        <w:rPr>
          <w:rFonts w:ascii="Times New Roman;serif" w:hAnsi="Times New Roman;serif"/>
          <w:b/>
          <w:color w:val="000000"/>
          <w:sz w:val="20"/>
        </w:rPr>
        <w:t>PROCEDURES BY WHICH STOCKHOLDERS MAY RECOMMEND NOMINEES TO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material changes to the procedures by which stockholders may recommend nominees to the Company’s Board of Directors, as described in the Company’s definitive Proxy Statement filed with the SEC on April 24, 2025. </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COMMITTEES OF THE BOARD OF DIRECTORS</w:t>
      </w:r>
    </w:p>
    <w:p>
      <w:pPr>
        <w:pStyle w:val="TextBody"/>
        <w:bidi w:val="0"/>
        <w:spacing w:lineRule="auto" w:line="26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three committees: an Audit Committee, a Management Compensation and Leadership Committee, and a Sustainability, Nomination, and Governance Committee. </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lineRule="auto" w:line="268" w:before="240" w:after="240"/>
        <w:ind w:left="0" w:right="0" w:firstLine="720"/>
        <w:jc w:val="both"/>
        <w:rPr/>
      </w:pPr>
      <w:r>
        <w:rPr>
          <w:rFonts w:ascii="Times New Roman;serif" w:hAnsi="Times New Roman;serif"/>
          <w:b w:val="false"/>
          <w:color w:val="000000"/>
          <w:sz w:val="20"/>
        </w:rPr>
        <w:t xml:space="preserve">The Audit Committee was established by the Board in accordance with Section 3(a)(58)(A) of the Securities Exchange Act of 1934, as amended (the “Exchange Act”), to oversee the Company’s corporate accounting and financial reporting processes and audits of its financial statements. The Audit Committee is composed of three directors: Mr. Boyce, Mr. Levitan, and Mr. Thanawala. The chair of the Audit Committee is Mr. Thanawala. The Board has adopted a written Audit Committee charter that satisfies the applicable listing standards of Nasdaq and is available to stockholders on the Company’s website at </w:t>
      </w:r>
      <w:r>
        <w:rPr>
          <w:rFonts w:ascii="Times New Roman;serif" w:hAnsi="Times New Roman;serif"/>
          <w:b w:val="false"/>
          <w:i/>
          <w:color w:val="000000"/>
          <w:sz w:val="24"/>
        </w:rPr>
        <w:t>ir.allbirds.com</w:t>
      </w:r>
      <w:r>
        <w:rPr>
          <w:rFonts w:ascii="Times New Roman;serif" w:hAnsi="Times New Roman;serif"/>
          <w:b w:val="false"/>
          <w:color w:val="000000"/>
          <w:sz w:val="20"/>
        </w:rPr>
        <w:t>. 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including pursuant to Rule 10A-3(b)(1) of the Exchange Act). The Board has also determined that Mr. Thanawala qualifies as an “audit committee financial expert,” as defined in applicable SEC rules.</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Management Compensation and Leadership Committee</w:t>
      </w:r>
    </w:p>
    <w:p>
      <w:pPr>
        <w:pStyle w:val="TextBody"/>
        <w:bidi w:val="0"/>
        <w:spacing w:lineRule="auto" w:line="268" w:before="240" w:after="240"/>
        <w:ind w:left="0" w:right="0" w:firstLine="720"/>
        <w:jc w:val="both"/>
        <w:rPr/>
      </w:pPr>
      <w:r>
        <w:rPr>
          <w:rFonts w:ascii="Times New Roman;serif" w:hAnsi="Times New Roman;serif"/>
          <w:b w:val="false"/>
          <w:color w:val="000000"/>
          <w:sz w:val="20"/>
        </w:rPr>
        <w:t xml:space="preserve">The Management Compensation and Leadership Committee (“Compensation Committee”) is composed of two directors: Ms. Hughes and Mr. Levitan. The chair of the Compensation Committee is Mr. Levitan. All members of the Company’s Compensation Committee are independent (as independence is currently defined in Rule 5605(d)(2) of the Nasdaq listing standards). The Board has adopted a written Compensation Committee charter that satisfies the applicable listing standards of Nasdaq and is available to stockholders on the Company’s website at </w:t>
      </w:r>
      <w:r>
        <w:rPr>
          <w:rFonts w:ascii="Times New Roman;serif" w:hAnsi="Times New Roman;serif"/>
          <w:b w:val="false"/>
          <w:i/>
          <w:color w:val="000000"/>
          <w:sz w:val="20"/>
        </w:rPr>
        <w:t>ir.allbirds.com</w:t>
      </w:r>
      <w:r>
        <w:rPr>
          <w:rFonts w:ascii="Times New Roman;serif" w:hAnsi="Times New Roman;serif"/>
          <w:b w:val="false"/>
          <w:color w:val="000000"/>
          <w:sz w:val="20"/>
        </w:rPr>
        <w:t>.</w:t>
      </w:r>
    </w:p>
    <w:p>
      <w:pPr>
        <w:pStyle w:val="TextBody"/>
        <w:bidi w:val="0"/>
        <w:spacing w:lineRule="auto" w:line="268" w:before="240" w:after="240"/>
        <w:jc w:val="left"/>
        <w:rPr>
          <w:rFonts w:ascii="Times New Roman;serif" w:hAnsi="Times New Roman;serif"/>
          <w:b/>
          <w:color w:val="000000"/>
          <w:sz w:val="20"/>
        </w:rPr>
      </w:pPr>
      <w:r>
        <w:rPr>
          <w:rFonts w:ascii="Times New Roman;serif" w:hAnsi="Times New Roman;serif"/>
          <w:b/>
          <w:color w:val="000000"/>
          <w:sz w:val="20"/>
        </w:rPr>
        <w:t>Sustainability, Nomination, and Governance Committee</w:t>
      </w:r>
    </w:p>
    <w:p>
      <w:pPr>
        <w:pStyle w:val="TextBody"/>
        <w:bidi w:val="0"/>
        <w:spacing w:lineRule="auto" w:line="268" w:before="240" w:after="240"/>
        <w:ind w:left="0" w:right="0" w:firstLine="720"/>
        <w:jc w:val="both"/>
        <w:rPr/>
      </w:pPr>
      <w:r>
        <w:rPr>
          <w:rFonts w:ascii="Times New Roman;serif" w:hAnsi="Times New Roman;serif"/>
          <w:b w:val="false"/>
          <w:color w:val="000000"/>
          <w:sz w:val="20"/>
        </w:rPr>
        <w:t xml:space="preserve">The Sustainability, Nomination, and Governance Committee (the “SNG Committee”) is currently composed of two directors: Mr. Boyce and Ms. Hughes. The chair of the SNG Committee is Ms. Hughes. All members of the SNG Committee are independent (as independence is currently defined in Rule 5605(a)(2) of the Nasdaq listing standards). The Board has adopted a written SNG Committee charter that satisfies the applicable listing standards of Nasdaq and is available to stockholders on the Company’s website at </w:t>
      </w:r>
      <w:r>
        <w:rPr>
          <w:rFonts w:ascii="Times New Roman;serif" w:hAnsi="Times New Roman;serif"/>
          <w:b w:val="false"/>
          <w:i/>
          <w:color w:val="000000"/>
          <w:sz w:val="20"/>
        </w:rPr>
        <w:t>ir.allbirds.com</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333" w:before="120" w:after="12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 our named executive officers were: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Ann Mitchell, Chief Financial Officer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Joe Vernachio, President and Chief Executive Officer and former Chief Operating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all of the compensation awarded to or earned by or paid to our named executive officers during the fiscal years indicated.</w:t>
      </w:r>
    </w:p>
    <w:tbl>
      <w:tblPr>
        <w:tblW w:w="10205" w:type="dxa"/>
        <w:jc w:val="left"/>
        <w:tblInd w:w="0" w:type="dxa"/>
        <w:tblLayout w:type="fixed"/>
        <w:tblCellMar>
          <w:top w:w="28" w:type="dxa"/>
          <w:left w:w="28" w:type="dxa"/>
          <w:bottom w:w="28" w:type="dxa"/>
          <w:right w:w="28" w:type="dxa"/>
        </w:tblCellMar>
      </w:tblPr>
      <w:tblGrid>
        <w:gridCol w:w="687"/>
        <w:gridCol w:w="493"/>
        <w:gridCol w:w="495"/>
        <w:gridCol w:w="109"/>
        <w:gridCol w:w="109"/>
        <w:gridCol w:w="109"/>
        <w:gridCol w:w="154"/>
        <w:gridCol w:w="154"/>
        <w:gridCol w:w="158"/>
        <w:gridCol w:w="109"/>
        <w:gridCol w:w="109"/>
        <w:gridCol w:w="109"/>
        <w:gridCol w:w="257"/>
        <w:gridCol w:w="257"/>
        <w:gridCol w:w="246"/>
        <w:gridCol w:w="109"/>
        <w:gridCol w:w="109"/>
        <w:gridCol w:w="109"/>
        <w:gridCol w:w="462"/>
        <w:gridCol w:w="462"/>
        <w:gridCol w:w="464"/>
        <w:gridCol w:w="109"/>
        <w:gridCol w:w="109"/>
        <w:gridCol w:w="109"/>
        <w:gridCol w:w="385"/>
        <w:gridCol w:w="237"/>
        <w:gridCol w:w="238"/>
        <w:gridCol w:w="109"/>
        <w:gridCol w:w="109"/>
        <w:gridCol w:w="109"/>
        <w:gridCol w:w="244"/>
        <w:gridCol w:w="244"/>
        <w:gridCol w:w="245"/>
        <w:gridCol w:w="109"/>
        <w:gridCol w:w="109"/>
        <w:gridCol w:w="109"/>
        <w:gridCol w:w="381"/>
        <w:gridCol w:w="381"/>
        <w:gridCol w:w="382"/>
        <w:gridCol w:w="109"/>
        <w:gridCol w:w="109"/>
        <w:gridCol w:w="109"/>
        <w:gridCol w:w="256"/>
        <w:gridCol w:w="256"/>
        <w:gridCol w:w="378"/>
      </w:tblGrid>
      <w:tr>
        <w:trPr/>
        <w:tc>
          <w:tcPr>
            <w:tcW w:w="6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14"/>
              </w:rPr>
            </w:pPr>
            <w:r>
              <w:rPr>
                <w:rFonts w:ascii="Times New Roman;serif" w:hAnsi="Times New Roman;serif"/>
                <w:b/>
                <w:color w:val="000000"/>
                <w:sz w:val="14"/>
              </w:rPr>
              <w:t>Non-Equity Incentive Plan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14"/>
              </w:rPr>
              <w:t>Stock Awards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14"/>
              </w:rPr>
              <w:t>Option Awards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All Other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w:t>
            </w:r>
          </w:p>
        </w:tc>
      </w:tr>
      <w:tr>
        <w:trPr/>
        <w:tc>
          <w:tcPr>
            <w:tcW w:w="1675"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16"/>
              </w:rPr>
            </w:pPr>
            <w:r>
              <w:rPr>
                <w:rFonts w:ascii="Times New Roman;serif" w:hAnsi="Times New Roman;serif"/>
                <w:b w:val="false"/>
                <w:color w:val="000000"/>
                <w:sz w:val="16"/>
              </w:rPr>
              <w:t>Joe Vernachio</w:t>
            </w:r>
          </w:p>
          <w:p>
            <w:pPr>
              <w:pStyle w:val="TableContents"/>
              <w:bidi w:val="0"/>
              <w:spacing w:lineRule="auto" w:line="288" w:before="53" w:after="30"/>
              <w:jc w:val="left"/>
              <w:rPr/>
            </w:pPr>
            <w:r>
              <w:rPr>
                <w:rFonts w:ascii="Times New Roman;serif" w:hAnsi="Times New Roman;serif"/>
                <w:b w:val="false"/>
                <w:i/>
                <w:color w:val="000000"/>
                <w:sz w:val="16"/>
              </w:rPr>
              <w:t>Chief Executive Officer and Former Chief Operating Officer</w:t>
            </w:r>
            <w:r>
              <w:rPr>
                <w:rFonts w:ascii="Times New Roman;serif" w:hAnsi="Times New Roman;serif"/>
                <w:b w:val="false"/>
                <w:i/>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454,993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69" w:before="0" w:after="0"/>
              <w:jc w:val="left"/>
              <w:rPr/>
            </w:pPr>
            <w:r>
              <w:rPr>
                <w:color w:val="000000"/>
              </w:rPr>
              <w:t> </w:t>
            </w:r>
            <w:r>
              <w:rPr>
                <w:rFonts w:ascii="Times New Roman;serif" w:hAnsi="Times New Roman;serif"/>
                <w:b w:val="false"/>
                <w:color w:val="000000"/>
                <w:sz w:val="16"/>
              </w:rPr>
              <w:t>14,000</w:t>
            </w:r>
            <w:r>
              <w:rPr>
                <w:rFonts w:ascii="Times New Roman;serif" w:hAnsi="Times New Roman;serif"/>
                <w:b w:val="false"/>
                <w:color w:val="000000"/>
                <w:sz w:val="10"/>
              </w:rPr>
              <w:t>(4)</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968,993</w:t>
            </w:r>
          </w:p>
        </w:tc>
      </w:tr>
      <w:tr>
        <w:trPr/>
        <w:tc>
          <w:tcPr>
            <w:tcW w:w="1675"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471,154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131,923</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563,575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69" w:before="0" w:after="0"/>
              <w:jc w:val="left"/>
              <w:rPr/>
            </w:pPr>
            <w:r>
              <w:rPr>
                <w:color w:val="000000"/>
              </w:rPr>
              <w:t> </w:t>
            </w:r>
            <w:r>
              <w:rPr>
                <w:rFonts w:ascii="Times New Roman;serif" w:hAnsi="Times New Roman;serif"/>
                <w:b w:val="false"/>
                <w:color w:val="000000"/>
                <w:sz w:val="16"/>
              </w:rPr>
              <w:t>13,800</w:t>
            </w:r>
            <w:r>
              <w:rPr>
                <w:rFonts w:ascii="Times New Roman;serif" w:hAnsi="Times New Roman;serif"/>
                <w:b w:val="false"/>
                <w:color w:val="000000"/>
                <w:sz w:val="10"/>
              </w:rPr>
              <w:t>(5)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1,180,452 </w:t>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16"/>
              </w:rPr>
            </w:pPr>
            <w:r>
              <w:rPr>
                <w:rFonts w:ascii="Times New Roman;serif" w:hAnsi="Times New Roman;serif"/>
                <w:b w:val="false"/>
                <w:color w:val="000000"/>
                <w:sz w:val="16"/>
              </w:rPr>
              <w:t>Ann Mitchell</w:t>
            </w:r>
          </w:p>
          <w:p>
            <w:pPr>
              <w:pStyle w:val="TableContents"/>
              <w:bidi w:val="0"/>
              <w:spacing w:lineRule="auto" w:line="288" w:before="53" w:after="30"/>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385,000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206,955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12,245</w:t>
            </w:r>
            <w:r>
              <w:rPr>
                <w:rFonts w:ascii="Times New Roman;serif" w:hAnsi="Times New Roman;serif"/>
                <w:b w:val="false"/>
                <w:color w:val="000000"/>
                <w:sz w:val="10"/>
              </w:rPr>
              <w:t>(4)</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604,200</w:t>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383,077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60,335</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282,600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13,800</w:t>
            </w:r>
            <w:r>
              <w:rPr>
                <w:rFonts w:ascii="Times New Roman;serif" w:hAnsi="Times New Roman;serif"/>
                <w:b w:val="false"/>
                <w:color w:val="000000"/>
                <w:sz w:val="10"/>
              </w:rPr>
              <w:t>(5)</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739,812 </w:t>
            </w:r>
          </w:p>
        </w:tc>
      </w:tr>
    </w:tbl>
    <w:p>
      <w:pPr>
        <w:pStyle w:val="TextBody"/>
        <w:bidi w:val="0"/>
        <w:spacing w:lineRule="auto" w:line="333" w:before="0" w:after="0"/>
        <w:jc w:val="both"/>
        <w:rPr>
          <w:color w:val="000000"/>
          <w:u w:val="single"/>
        </w:rPr>
      </w:pPr>
      <w:r>
        <w:rPr>
          <w:color w:val="000000"/>
          <w:u w:val="single"/>
        </w:rPr>
        <w:t>    </w:t>
      </w:r>
    </w:p>
    <w:p>
      <w:pPr>
        <w:pStyle w:val="TextBody"/>
        <w:bidi w:val="0"/>
        <w:spacing w:lineRule="auto" w:line="333" w:before="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 March 2024, Mr. Vernachio was appointed as President, Chief Executive Officer and Secretary of the Company.</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2.Except as otherwise noted, amounts reported represent the aggregate grant date fair value of stock awards granted in the fiscal year ended December 31, 2025, measured pursuant to ASC 718, the basis for computing stock-based compensation in our financial statements. This calculation assumes that the named executive officer will perform the requisite service for the award to vest in full as required by SEC rules. These amounts do not reflect the actual economic value that will be realized by the named executive officer upon the settlement of such stock awards or the sale of the Class A common stock issuable upon the settlement of such stock awards. In 2024, Mr. Vernachio was granted certain performance-based RSUs which vest, if at all, according to certain Company stock price targets. Please see the section titled “"Employment Agreements with our Named Executive Officers - Joe Vernachio” below for further information. The grant date fair value of these performance-based RSUs was calculated based on a Monte-Carlo simulation. The performance-based RSUs are subject to market and service conditions, and not performance conditions, as defined under ASC 718, and therefore have no maximum grant date fair values that differ from the grant date fair values presented in the table. The assumptions we used in valuing stock awards are described in Note 10 to our consolidated financial statements.</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3.For Mr. Vernachio and Ms. Mitchell, amounts reported represent a discretionary bonus related to the fiscal year ended December 31, 2024. For additional detail, please see "Non-Equity Incentive Plan Compensation."</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4.For Mr. Vernachio, amount reported represents $14,000 in company contributions under our 401(k) plan paid by the Company for the benefit of Mr. Vernachio. For Ms. Mitchell, amount reported represents $12,245 in company contributions under our 401(k) plan paid by the Company for the benefit of Ms. Mitchell. </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5.For Mr. Vernachio, amount reported represents $13,800 in company contributions under our 401(k) plan paid by the Company for the benefit of Mr. Vernachio. For Ms. Mitchell, amount reported represents $13,800 in company contributions under our 401(k) plan paid by the Company for the benefit of Ms. Mitchell.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Narrative to the Summary Compensation Table</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Annual Base Salary</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Our Board approved an annual base salary for Mr. Vernachio of $375,000, effective March 1, 2022, and in March 2024, we entered into a new offer letter with Mr. Vernachio in connection with his appointment as the Company's President and Chief Executive Officer entitling Mr. Vernachio to an initial annualized base salary of $500,000. Ms. Mitchell joined us in April 2023 and received an annualized base salary of $375,000 and in May 2024, the Compensation Committee approved an annualized base salary for Ms. Mitchell of $385,000.</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Non-Equity Incentive Plan Compensation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base salaries, our executive officers are eligible to receive performance-based cash bonuses, which are designed to provide appropriate incentives to our executives to achieve defined performance goals. For our fiscal year 2025, no bonus amounts were earned or paid to our named executive officers. For our fiscal year 2024, Mr. Vernachio, in connection with his role as President and Chief Executive Officer, the target bonus was 80% of his annual base salary with a maximum bonus opportunity of 160% of annual base salary, and for Ms. Mitchell, the target bonus was 45% of her annual base salary with a maximum bonus opportunity of 90% of annual base salary. The performance goals for our fiscal year ended December 31, 2024 focused on U.S. net revenue and adjusted EBITDA, with a weighting of 30% and 70% assigned to each target, respectively, and with a +/- 20% discretionary modifier based on delivering against sustainability goals and strategic transformation priorities. The amounts of any annual incentives earned are determined after the end of the year, based on the achievement of the designated corporate and individual performance objectives. </w:t>
      </w:r>
    </w:p>
    <w:p>
      <w:pPr>
        <w:pStyle w:val="TextBody"/>
        <w:bidi w:val="0"/>
        <w:spacing w:lineRule="auto" w:line="268" w:before="0" w:after="0"/>
        <w:jc w:val="left"/>
        <w:rPr/>
      </w:pPr>
      <w:r>
        <w:rPr>
          <w:rFonts w:ascii="Times New Roman;serif" w:hAnsi="Times New Roman;serif"/>
          <w:b w:val="false"/>
          <w:color w:val="000000"/>
          <w:sz w:val="20"/>
        </w:rPr>
        <w:t>Subsequent to the year ended December 31, 2025, the Compensation Committee adopted the Executive Retention Plan.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the Executive Retention Plan in Part II, Item 8, Note 16 is incorporated by reference into this Part III, Item 11.</w:t>
      </w:r>
    </w:p>
    <w:p>
      <w:pPr>
        <w:pStyle w:val="TextBody"/>
        <w:bidi w:val="0"/>
        <w:spacing w:before="0" w:after="0"/>
        <w:jc w:val="left"/>
        <w:rPr/>
      </w:pPr>
      <w:r>
        <w:rPr/>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Equity-Based Awards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performance.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Prior to our IPO, we granted equity awards pursuant to our 2015 Equity Incentive Plan (the “2015 Plan”), and following the closing of our IPO, we grant all equity awards pursuant to the 2021 Plan. Following the adoption of our 2021 Plan, no further grants were permitted to be made our 2015 Plan, though existing awards remain outstanding under the 2015 Plan and continue to vest in accordance with their terms.</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2025 Grants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2025, we granted to Ms. Mitchell (i) an award of restricted stock unit awards (“RSUs”) under our 2021 plan covering 31,500 shares of our Class A common stock, and (ii) an award of PSUs (The “PSU Award”) covering 10,000 shares of our Class A common stock. The RSUs vest with respect to 1/12th of the shares on the three-month anniversary of the grant date, and with respect to the remaining shares subject to the RSUs, in 11 equal quarterly installments thereafter. The PSU Award will become eligible to vest upon the attainment of certain stock price goals.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2025, we granted to Mr. Vernachio (i) an award of restricted stock unit awards (“RSUs”) under our 2021 plan covering 63,955 shares of our Class A common stock, and (ii) an award of PSUs (The “PSU Award”) covering 27,409 shares of our Class A common stock. The RSUs vest with respect to 1/12th of the shares on the three-month anniversary of the grant date, and with respect to the remaining shares subject to the RSUs, in 11 equal quarterly installments thereafter. The PSU Award will become eligible to vest upon the attainment of certain stock price goals.</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2024 Grants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2024, we granted annual restricted stock unit awards (“RSUs”) under our 2021 Plan to Ms. Mitchell covering 20,000 shares of our Class A common stock. One-twelfth of these RSUs vested on December 1, 2024, and the remaining RSUs vest in equal quarterly installments for the following three years, subject to continued service through the applicable vesting date.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Mr. Vernachio's appointment as President and Chief Executive Officer, in March 2024, the Board granted to Mr. Vernachio (i) an award of RSUs with a grant date value of $600,000, and (ii) an award of PSUs with a grant date value of $600,000 (the "PSU Award"). The RSUs vest with respect to 1/12th of the shares on the three-month anniversary of the grant date, and with respect to the remaining shares subject to the RSUs, in 11 equal quarterly installments thereafter. The PSU Award will become eligible to vest upon the attainment of certain stock price goals, see Section titled "Employment Agreements with our Named Executive Officers - Joe Vernachio" for details on the PSU Award.</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Outstanding Equity Awards at Fiscal Year-End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about outstanding equity awards granted to our named executive officers that remain outstanding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tbl>
      <w:tblPr>
        <w:tblW w:w="11425" w:type="dxa"/>
        <w:jc w:val="left"/>
        <w:tblInd w:w="0" w:type="dxa"/>
        <w:tblLayout w:type="fixed"/>
        <w:tblCellMar>
          <w:top w:w="28" w:type="dxa"/>
          <w:left w:w="28" w:type="dxa"/>
          <w:bottom w:w="28" w:type="dxa"/>
          <w:right w:w="28" w:type="dxa"/>
        </w:tblCellMar>
      </w:tblPr>
      <w:tblGrid>
        <w:gridCol w:w="255"/>
        <w:gridCol w:w="223"/>
        <w:gridCol w:w="228"/>
        <w:gridCol w:w="221"/>
        <w:gridCol w:w="221"/>
        <w:gridCol w:w="222"/>
        <w:gridCol w:w="155"/>
        <w:gridCol w:w="140"/>
        <w:gridCol w:w="141"/>
        <w:gridCol w:w="109"/>
        <w:gridCol w:w="109"/>
        <w:gridCol w:w="109"/>
        <w:gridCol w:w="290"/>
        <w:gridCol w:w="290"/>
        <w:gridCol w:w="291"/>
        <w:gridCol w:w="109"/>
        <w:gridCol w:w="109"/>
        <w:gridCol w:w="109"/>
        <w:gridCol w:w="330"/>
        <w:gridCol w:w="330"/>
        <w:gridCol w:w="331"/>
        <w:gridCol w:w="109"/>
        <w:gridCol w:w="109"/>
        <w:gridCol w:w="109"/>
        <w:gridCol w:w="180"/>
        <w:gridCol w:w="180"/>
        <w:gridCol w:w="181"/>
        <w:gridCol w:w="109"/>
        <w:gridCol w:w="109"/>
        <w:gridCol w:w="109"/>
        <w:gridCol w:w="210"/>
        <w:gridCol w:w="210"/>
        <w:gridCol w:w="2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54"/>
        <w:gridCol w:w="654"/>
        <w:gridCol w:w="327"/>
        <w:gridCol w:w="372"/>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 w:type="dxa"/>
            <w:gridSpan w:val="3"/>
            <w:tcBorders/>
            <w:tcMar>
              <w:top w:w="0" w:type="dxa"/>
              <w:left w:w="0" w:type="dxa"/>
              <w:bottom w:w="0" w:type="dxa"/>
              <w:right w:w="0" w:type="dxa"/>
            </w:tcMar>
            <w:vAlign w:val="center"/>
          </w:tcPr>
          <w:p>
            <w:pPr>
              <w:pStyle w:val="TableContents"/>
              <w:bidi w:val="0"/>
              <w:spacing w:before="0" w:after="0"/>
              <w:ind w:left="0" w:right="0" w:firstLine="578"/>
              <w:jc w:val="left"/>
              <w:rPr/>
            </w:pPr>
            <w:r>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21"/>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2"/>
              </w:rPr>
              <w:t>Option Awards</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42"/>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2"/>
              </w:rPr>
              <w:t>Stock Awards</w:t>
            </w:r>
            <w:r>
              <w:rPr>
                <w:rFonts w:ascii="Times New Roman;serif" w:hAnsi="Times New Roman;serif"/>
                <w:b/>
                <w:color w:val="000000"/>
                <w:sz w:val="8"/>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Name</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69" w:before="33" w:after="283"/>
              <w:jc w:val="center"/>
              <w:rPr>
                <w:rFonts w:ascii="Times New Roman;serif" w:hAnsi="Times New Roman;serif"/>
                <w:b/>
                <w:color w:val="000000"/>
                <w:sz w:val="12"/>
              </w:rPr>
            </w:pPr>
            <w:r>
              <w:rPr>
                <w:rFonts w:ascii="Times New Roman;serif" w:hAnsi="Times New Roman;serif"/>
                <w:b/>
                <w:color w:val="000000"/>
                <w:sz w:val="12"/>
              </w:rPr>
              <w:t>Number of securities underlying unexercised options</w:t>
            </w:r>
          </w:p>
          <w:p>
            <w:pPr>
              <w:pStyle w:val="TableContents"/>
              <w:bidi w:val="0"/>
              <w:spacing w:lineRule="auto" w:line="369" w:before="0" w:after="30"/>
              <w:jc w:val="center"/>
              <w:rPr>
                <w:rFonts w:ascii="Times New Roman;serif" w:hAnsi="Times New Roman;serif"/>
                <w:b/>
                <w:color w:val="000000"/>
                <w:sz w:val="12"/>
              </w:rPr>
            </w:pPr>
            <w:r>
              <w:rPr>
                <w:rFonts w:ascii="Times New Roman;serif" w:hAnsi="Times New Roman;serif"/>
                <w:b/>
                <w:color w:val="000000"/>
                <w:sz w:val="12"/>
              </w:rPr>
              <w:t>(#)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69" w:before="33" w:after="283"/>
              <w:jc w:val="center"/>
              <w:rPr>
                <w:rFonts w:ascii="Times New Roman;serif" w:hAnsi="Times New Roman;serif"/>
                <w:b/>
                <w:color w:val="000000"/>
                <w:sz w:val="12"/>
              </w:rPr>
            </w:pPr>
            <w:r>
              <w:rPr>
                <w:rFonts w:ascii="Times New Roman;serif" w:hAnsi="Times New Roman;serif"/>
                <w:b/>
                <w:color w:val="000000"/>
                <w:sz w:val="12"/>
              </w:rPr>
              <w:t>Number of securities</w:t>
            </w:r>
          </w:p>
          <w:p>
            <w:pPr>
              <w:pStyle w:val="TableContents"/>
              <w:bidi w:val="0"/>
              <w:spacing w:lineRule="auto" w:line="369" w:before="0" w:after="0"/>
              <w:jc w:val="center"/>
              <w:rPr>
                <w:rFonts w:ascii="Times New Roman;serif" w:hAnsi="Times New Roman;serif"/>
                <w:b/>
                <w:color w:val="000000"/>
                <w:sz w:val="12"/>
              </w:rPr>
            </w:pPr>
            <w:r>
              <w:rPr>
                <w:rFonts w:ascii="Times New Roman;serif" w:hAnsi="Times New Roman;serif"/>
                <w:b/>
                <w:color w:val="000000"/>
                <w:sz w:val="12"/>
              </w:rPr>
              <w:t>underlying</w:t>
            </w:r>
          </w:p>
          <w:p>
            <w:pPr>
              <w:pStyle w:val="TableContents"/>
              <w:bidi w:val="0"/>
              <w:spacing w:lineRule="auto" w:line="369" w:before="0" w:after="0"/>
              <w:jc w:val="center"/>
              <w:rPr>
                <w:rFonts w:ascii="Times New Roman;serif" w:hAnsi="Times New Roman;serif"/>
                <w:b/>
                <w:color w:val="000000"/>
                <w:sz w:val="12"/>
              </w:rPr>
            </w:pPr>
            <w:r>
              <w:rPr>
                <w:rFonts w:ascii="Times New Roman;serif" w:hAnsi="Times New Roman;serif"/>
                <w:b/>
                <w:color w:val="000000"/>
                <w:sz w:val="12"/>
              </w:rPr>
              <w:t>unexercised</w:t>
            </w:r>
          </w:p>
          <w:p>
            <w:pPr>
              <w:pStyle w:val="TableContents"/>
              <w:bidi w:val="0"/>
              <w:spacing w:lineRule="auto" w:line="369" w:before="0" w:after="30"/>
              <w:jc w:val="center"/>
              <w:rPr>
                <w:rFonts w:ascii="Times New Roman;serif" w:hAnsi="Times New Roman;serif"/>
                <w:b/>
                <w:color w:val="000000"/>
                <w:sz w:val="12"/>
              </w:rPr>
            </w:pPr>
            <w:r>
              <w:rPr>
                <w:rFonts w:ascii="Times New Roman;serif" w:hAnsi="Times New Roman;serif"/>
                <w:b/>
                <w:color w:val="000000"/>
                <w:sz w:val="12"/>
              </w:rPr>
              <w:t>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pPr>
            <w:r>
              <w:rPr>
                <w:rFonts w:ascii="Times New Roman;serif" w:hAnsi="Times New Roman;serif"/>
                <w:b/>
                <w:color w:val="000000"/>
                <w:sz w:val="12"/>
              </w:rPr>
              <w:t>Option exercise price</w:t>
            </w:r>
            <w:r>
              <w:rPr>
                <w:rFonts w:ascii="Times New Roman;serif" w:hAnsi="Times New Roman;serif"/>
                <w:b/>
                <w:color w:val="000000"/>
                <w:sz w:val="8"/>
              </w:rPr>
              <w:t>(2)</w:t>
            </w:r>
            <w:r>
              <w:rPr>
                <w:rFonts w:ascii="Times New Roman;serif" w:hAnsi="Times New Roman;serif"/>
                <w:b/>
                <w:color w:val="000000"/>
                <w:sz w:val="12"/>
              </w:rPr>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69" w:before="33" w:after="283"/>
              <w:jc w:val="center"/>
              <w:rPr>
                <w:rFonts w:ascii="Times New Roman;serif" w:hAnsi="Times New Roman;serif"/>
                <w:b/>
                <w:color w:val="000000"/>
                <w:sz w:val="12"/>
              </w:rPr>
            </w:pPr>
            <w:r>
              <w:rPr>
                <w:rFonts w:ascii="Times New Roman;serif" w:hAnsi="Times New Roman;serif"/>
                <w:b/>
                <w:color w:val="000000"/>
                <w:sz w:val="12"/>
              </w:rPr>
              <w:t>Number of shares or units of stock that have not vested</w:t>
            </w:r>
          </w:p>
          <w:p>
            <w:pPr>
              <w:pStyle w:val="TableContents"/>
              <w:bidi w:val="0"/>
              <w:spacing w:lineRule="auto" w:line="369" w:before="0" w:after="30"/>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69" w:before="33" w:after="30"/>
              <w:jc w:val="center"/>
              <w:rPr/>
            </w:pPr>
            <w:r>
              <w:rPr>
                <w:rFonts w:ascii="Times New Roman;serif" w:hAnsi="Times New Roman;serif"/>
                <w:b/>
                <w:color w:val="000000"/>
                <w:sz w:val="12"/>
              </w:rPr>
              <w:t>Market value of shares of units of stock that have not vested</w:t>
            </w:r>
            <w:r>
              <w:rPr>
                <w:rFonts w:ascii="Times New Roman;serif" w:hAnsi="Times New Roman;serif"/>
                <w:b w:val="false"/>
                <w:color w:val="000000"/>
                <w:sz w:val="8"/>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Equity Incentive Plan</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Awards: Number of</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Unearned Shares,</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Units or Other Rights</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That Have Not Vested</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w:t>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Equity Incentive Plan</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Awards: Market or Payout</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Value of Unearned Shares,</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Units or Other Rights</w:t>
            </w:r>
          </w:p>
          <w:p>
            <w:pPr>
              <w:pStyle w:val="TableContents"/>
              <w:bidi w:val="0"/>
              <w:spacing w:lineRule="auto" w:line="369" w:before="33" w:after="30"/>
              <w:jc w:val="center"/>
              <w:rPr>
                <w:rFonts w:ascii="Times New Roman;serif" w:hAnsi="Times New Roman;serif"/>
                <w:b/>
                <w:color w:val="000000"/>
                <w:sz w:val="12"/>
              </w:rPr>
            </w:pPr>
            <w:r>
              <w:rPr>
                <w:rFonts w:ascii="Times New Roman;serif" w:hAnsi="Times New Roman;serif"/>
                <w:b/>
                <w:color w:val="000000"/>
                <w:sz w:val="12"/>
              </w:rPr>
              <w:t>That Have Not Vested</w:t>
            </w:r>
          </w:p>
          <w:p>
            <w:pPr>
              <w:pStyle w:val="TableContents"/>
              <w:bidi w:val="0"/>
              <w:spacing w:lineRule="auto" w:line="369" w:before="33" w:after="30"/>
              <w:jc w:val="center"/>
              <w:rPr/>
            </w:pPr>
            <w:r>
              <w:rPr>
                <w:rFonts w:ascii="Times New Roman;serif" w:hAnsi="Times New Roman;serif"/>
                <w:b/>
                <w:color w:val="000000"/>
                <w:sz w:val="12"/>
              </w:rPr>
              <w:t>($)</w:t>
            </w:r>
            <w:r>
              <w:rPr>
                <w:rFonts w:ascii="Times New Roman;serif" w:hAnsi="Times New Roman;serif"/>
                <w:b w:val="false"/>
                <w:color w:val="000000"/>
                <w:sz w:val="8"/>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Joe Vernachio</w:t>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val="false"/>
                <w:color w:val="000000"/>
                <w:sz w:val="14"/>
              </w:rPr>
              <w:t>6/26/2021</w:t>
            </w:r>
            <w:r>
              <w:rPr>
                <w:rFonts w:ascii="Times New Roman;serif" w:hAnsi="Times New Roman;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87.78</w:t>
            </w:r>
            <w:r>
              <w:rPr>
                <w:rFonts w:ascii="Times New Roman;serif" w:hAnsi="Times New Roman;serif"/>
                <w:b w:val="false"/>
                <w:color w:val="000000"/>
                <w:sz w:val="9"/>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val="false"/>
                <w:color w:val="000000"/>
                <w:sz w:val="14"/>
              </w:rPr>
              <w:t>6/26/2021</w:t>
            </w:r>
            <w:r>
              <w:rPr>
                <w:rFonts w:ascii="Times New Roman;serif" w:hAnsi="Times New Roman;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87.80</w:t>
            </w:r>
            <w:r>
              <w:rPr>
                <w:rFonts w:ascii="Times New Roman;serif" w:hAnsi="Times New Roman;serif"/>
                <w:b w:val="false"/>
                <w:color w:val="000000"/>
                <w:sz w:val="9"/>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8/16/2023</w:t>
            </w:r>
            <w:r>
              <w:rPr>
                <w:rFonts w:ascii="Times New Roman;serif" w:hAnsi="Times New Roman;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3/15/2024</w:t>
            </w:r>
            <w:r>
              <w:rPr>
                <w:rFonts w:ascii="Times New Roman;serif" w:hAnsi="Times New Roman;serif"/>
                <w:b w:val="false"/>
                <w:color w:val="000000"/>
                <w:sz w:val="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3/15/2024</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16,371</w:t>
            </w:r>
            <w:r>
              <w:rPr>
                <w:rFonts w:ascii="Times New Roman;serif" w:hAnsi="Times New Roman;serif"/>
                <w:b w:val="false"/>
                <w:color w:val="000000"/>
                <w:sz w:val="9"/>
              </w:rPr>
              <w:t>(6)</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67,123</w:t>
            </w:r>
            <w:r>
              <w:rPr>
                <w:rFonts w:ascii="Times New Roman;serif" w:hAnsi="Times New Roman;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4/18/2025</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174,812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4/18/2025</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27,409</w:t>
            </w:r>
            <w:r>
              <w:rPr>
                <w:rFonts w:ascii="Times New Roman;serif" w:hAnsi="Times New Roman;serif"/>
                <w:b w:val="false"/>
                <w:color w:val="000000"/>
                <w:sz w:val="9"/>
              </w:rPr>
              <w:t>(6)</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112,377</w:t>
            </w:r>
            <w:r>
              <w:rPr>
                <w:rFonts w:ascii="Times New Roman;serif" w:hAnsi="Times New Roman;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Ann Mitchell</w:t>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5/1/2023</w:t>
            </w:r>
            <w:r>
              <w:rPr>
                <w:rFonts w:ascii="Times New Roman;serif" w:hAnsi="Times New Roman;serif"/>
                <w:b w:val="false"/>
                <w:color w:val="000000"/>
                <w:sz w:val="9"/>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5/1/2023</w:t>
            </w:r>
            <w:r>
              <w:rPr>
                <w:rFonts w:ascii="Times New Roman;serif" w:hAnsi="Times New Roman;serif"/>
                <w:b w:val="false"/>
                <w:color w:val="000000"/>
                <w:sz w:val="9"/>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33" w:after="3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180,216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9/1/2024</w:t>
            </w:r>
            <w:r>
              <w:rPr>
                <w:rFonts w:ascii="Times New Roman;serif" w:hAnsi="Times New Roman;serif"/>
                <w:b w:val="false"/>
                <w:color w:val="000000"/>
                <w:sz w:val="9"/>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33" w:after="3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3/1/2025</w:t>
            </w:r>
            <w:r>
              <w:rPr>
                <w:rFonts w:ascii="Times New Roman;serif" w:hAnsi="Times New Roman;serif"/>
                <w:b w:val="false"/>
                <w:color w:val="000000"/>
                <w:sz w:val="9"/>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33" w:after="3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127,788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3/1/2025</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10,000</w:t>
            </w:r>
            <w:r>
              <w:rPr>
                <w:rFonts w:ascii="Times New Roman;serif" w:hAnsi="Times New Roman;serif"/>
                <w:b w:val="false"/>
                <w:color w:val="000000"/>
                <w:sz w:val="9"/>
              </w:rPr>
              <w:t>(6)</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41,000</w:t>
            </w:r>
            <w:r>
              <w:rPr>
                <w:rFonts w:ascii="Times New Roman;serif" w:hAnsi="Times New Roman;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(1)With the exception of Mr. Vernachio's options award on June 26, 2021, which was granted under the 2015 Plan, all other option awards listed in the table were granted under our 2021 Plan; all of the RSUs and PSUs listed in the table were granted under our 2021 Plan. Certain of the equity awards are subject to vesting acceleration as described under “—Potential Payments upon Termination or Change in Control.” Option awards granted under our 2021 Plan and 2015 Plan are exercisable for our Class A common stock and Class B common stock, respectively. </w:t>
      </w:r>
    </w:p>
    <w:p>
      <w:pPr>
        <w:pStyle w:val="TextBody"/>
        <w:bidi w:val="0"/>
        <w:spacing w:lineRule="auto" w:line="288" w:before="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(2)All of the option awards listed in the table were granted with a per share exercise price equal to or above the fair market value of one share of our common stock on the date of grant, as determined in good faith by our Board of Directors; option awards that have been repriced have a per share fair market value that was equal to the closing market price of our Class A common stock on May 20, 2022, the repricing date.</w:t>
      </w:r>
    </w:p>
    <w:p>
      <w:pPr>
        <w:pStyle w:val="TextBody"/>
        <w:bidi w:val="0"/>
        <w:spacing w:lineRule="auto" w:line="288" w:before="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(3)One-fourth of the shares subject to this option vested on June 1, 2022, and the remainder of the shares vest in 36 equal monthly installments thereafter, subject to the holder’s continuous service with us.</w:t>
      </w:r>
    </w:p>
    <w:p>
      <w:pPr>
        <w:pStyle w:val="TextBody"/>
        <w:bidi w:val="0"/>
        <w:spacing w:lineRule="auto" w:line="288" w:before="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(4)One-twelfth of the restricted stock units vested on September 1, 2023, and the remainder of the shares vest in 12 successive equal quarterly installments thereafter, subject to the holder’s continuous service with us.</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(5)One-twelfth of the restricted stock units vested on June 1, 2024, and 1/12 of the RSUs vest in equal quarterly installment thereafter, subject to the holder's continuous service with us.</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(6)The number and market value of the PSUs that vest based upon the achievement of certain Company stock price targets during specified measurement periods reflect threshold performance. The actual numbers of shares that will be distributed with respect to the PSUs are not yet determinable.</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(7)One-twelfth of the restricted stock units vested on June 30, 2025, and 1/12 of the RSUs vest in equal quarterly installment thereafter, subject to the holder's continuous service with us.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(8)One-fourth of the shares subject to this option vested on June 1, 2024, and the remainder of the shares vest in 12 successive equal quarterly installments thereafter, subject to the holder’s continuous service with us.</w:t>
      </w:r>
    </w:p>
    <w:p>
      <w:pPr>
        <w:pStyle w:val="TextBody"/>
        <w:bidi w:val="0"/>
        <w:spacing w:lineRule="auto" w:line="288" w:before="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(9)One-fourth of the restricted stock units vested on June 1, 2024, and the remainder of the shares vest in 12 successive equal quarterly installments thereafter, subject to the holder’s continuous service with us.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(10)One-twelfth of the restricted stock units vested on September 1, 2024, and the remainder of the shares vest in 12 successive equal quarterly installments thereafter, subject to the holder’s continuous service with us.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(11)One-twelfth of the restricted stock units vested on June 1, 2025, and the remainder of the shares vest in 12 successive equal quarterly installments thereafter, subject to the holder’s continuous service with us.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(12)The market value of our Class A common stock is based on the closing price of our Class A common stock on the Nasdaq Global Select Market on December 31, 2025, which was $4.10.</w:t>
      </w:r>
    </w:p>
    <w:p>
      <w:pPr>
        <w:pStyle w:val="TextBody"/>
        <w:bidi w:val="0"/>
        <w:spacing w:lineRule="auto" w:line="333" w:before="120" w:after="120"/>
        <w:ind w:left="0" w:right="0" w:hanging="270"/>
        <w:jc w:val="both"/>
        <w:rPr>
          <w:rFonts w:ascii="Times New Roman;serif" w:hAnsi="Times New Roman;serif"/>
          <w:b/>
          <w:color w:val="000000"/>
          <w:sz w:val="20"/>
        </w:rPr>
      </w:pPr>
      <w:r>
        <w:rPr>
          <w:rFonts w:ascii="Times New Roman;serif" w:hAnsi="Times New Roman;serif"/>
          <w:b/>
          <w:color w:val="000000"/>
          <w:sz w:val="20"/>
        </w:rPr>
        <w:t>Health and Welfare, Retirement Benefits, and Perquisites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Health and Welfare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current named executive officers are eligible to participate in our employee benefit plans, including our medical, dental, vision, disability, and life insurance plans, in each case on the same basis as all of our other employees.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 xml:space="preserve">401(k)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participate in a defined contribution retirement plan that provides eligible U.S.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“Code”). The 401(k) plan is intended to be qualified under Section 401(a) of the Code with the 401(k) plan’s related trust intended to be tax exempt under Section 501(a) of the Code.</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Perquisites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general, we do not offer perquisites to our named executive officers.</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Employment Agreements with our Named Executive Officers</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Each of our named executive officers is employed at-will. We have entered into offer letter agreements with Ms. Mitchell and Mr. Vernachio, the material terms of which are summarized below. In addition, each of our named executive officers has executed our standard form of confidential information and inventions assignment agreement and may become eligible for severance or change in control benefits under our Severance and Change in Control Plan, as described below under “—Potential Payments upon Termination or Change in Control.”</w:t>
      </w:r>
    </w:p>
    <w:p>
      <w:pPr>
        <w:pStyle w:val="TextBody"/>
        <w:bidi w:val="0"/>
        <w:spacing w:lineRule="auto" w:line="312" w:before="120" w:after="120"/>
        <w:jc w:val="both"/>
        <w:rPr>
          <w:rFonts w:ascii="Times New Roman;serif" w:hAnsi="Times New Roman;serif"/>
          <w:b/>
          <w:i/>
          <w:color w:val="000000"/>
          <w:sz w:val="20"/>
        </w:rPr>
      </w:pPr>
      <w:r>
        <w:rPr>
          <w:rFonts w:ascii="Times New Roman;serif" w:hAnsi="Times New Roman;serif"/>
          <w:b/>
          <w:i/>
          <w:color w:val="000000"/>
          <w:sz w:val="20"/>
        </w:rPr>
        <w:t>Ann Mitchell</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2023, we entered into an offer letter with Ms. Mitchell that governs the terms of her current employment with us. Pursuant to the offer letter, Ms. Mitchel is entitled to an initial annual base salary of $375,000, which is subject to adjustment at the discretion of our Board, and an annual bonus of up to 80% of her annual base salary with a target equal to 40% of her annual base salary to be awarded based upon the achievement of individual and company performance goals as determined by our Board. </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start of her employment with us, our Board granted Ms. Mitchell an option to purchase 80,000 shares of our Class A common stock with an exercise price of $1.25 and a RSU award of 41,368 shares of our Class A common stock, both subject to the terms of our 2021 Plan and an applicable award agreement. The options vest with respect to 25% of the shares subject to the option on June 1, 2024, and with respect to the remaining shares subject to the option, in 12 equal quarterly installments thereafter. The RSUs vest with respect to 25% of the shares subject to the RSUs on June 1, 2024, and with respect to the remaining shares subject to the RSUs, in 12 equal quarterly installments thereafter. </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Ms. Mitchell’s offer letter, she received a one-time, signing bonus equal to $12,000 and up to $10,000 in reimbursable relocation expenses.</w:t>
      </w:r>
    </w:p>
    <w:p>
      <w:pPr>
        <w:pStyle w:val="TextBody"/>
        <w:bidi w:val="0"/>
        <w:spacing w:lineRule="auto" w:line="288" w:before="120" w:after="120"/>
        <w:jc w:val="both"/>
        <w:rPr/>
      </w:pPr>
      <w:r>
        <w:rPr>
          <w:rFonts w:ascii="Times New Roman;serif" w:hAnsi="Times New Roman;serif"/>
          <w:b/>
          <w:i/>
          <w:color w:val="000000"/>
          <w:sz w:val="20"/>
        </w:rPr>
        <w:t>Joe Vernachio</w:t>
      </w:r>
      <w:r>
        <w:rPr>
          <w:color w:val="000000"/>
        </w:rPr>
        <w:t xml:space="preserve"> </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2021, we entered into an offer letter with Mr. Vernachio that previously governed the terms of his employment with us (the "2021 offer letter"). Pursuant to the 2021 offer letter, Mr. Vernachio was entitled to an initial annual base salary of $350,000, which was subject to adjustment at the discretion of our Board, and an annual bonus of up to 70% of his annual base salary with a target equal to 35% of his annual base salary to be awarded based upon the achievement of individual and company performance goals as determined by our Board. Mr. Vernachio’s annual bonus target for 2023 was increased by the Compensation Committee to a target bonus equal to 45% of his annual base salary and a maximum of 90% of his annual base salary.</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start of his employment with us, our Board granted Mr. Vernachio an option to purchase 21,251 shares of our Class B common stock with an exercise price of $168.60 per share, pursuant to the terms of our 2015 Plan and an applicable stock option agreement. The options vested with respect to 25% of the shares subject to the option on June 1, 2022, and with respect to the remaining shares subject to the option, in equal monthly installments thereafter for a 36-month period. The options were repriced in May 2022 on a one-for-one basis to $87.80 per share.</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terms of Mr. Vernachio’s 2021 offer letter, his option grant provided for in the 2021 offer letter will vest in full if, within 30 days before the execution of a definitive agreement providing for a change in control (as defined in the 2015 Plan) or 12 months following a change in control, his employment with us is terminated without cause (as defined in the 2021 offer letter) or he terminates his employment for good reason (as defined in the 2021 offer letter), and such separation is not a result of his death or disability. </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we entered into a new offer letter with Mr. Vernachio that governs his new role as the Company's President and Chief Executive Officer (the "2024 offer letter"). Pursuant to the 2024 offer letter, Mr. Vernachio is entitled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initial annual base salary of $500,000, which is subject to adjustment at the discretion of our Board, and an annual bonus with a target equal to 80% of his annual base salary to be awarded based upon the achievement of individual and company performance goals as determined by our Board.</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our Board granted to Mr. Vernachio (i) an award of RSUs with a grant date value of $600,000, and (ii) an award of PSUs with a grant date value of $600,000 (the "PSU Award"). The RSUs vest with respect to 1/12th of the shares on the three-month anniversary of the grant date, and with respect to the remaining shares subject to the RSUs, in 11 equal quarterly installments thereafter. </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The PSU Award will become eligible to vest upon the attainment of certain stock price goals, as described below. None of the PSUs vest purely based on continued employment. The dollar value of the PSU Award will be converted into a number of Shares of Common Stock by dividing (i) the value of the PSU Award, by (ii) the average closing price of Shares on the Nasdaq Stock Market for the 30 trading days immediately prior to the Grant Date.</w:t>
      </w:r>
    </w:p>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The PSUs are eligible to vest based on the Company’s stock price performance over a three-year performance period beginning on March 15, 2024 (the “Grant Date”) and ending March 15, 2027. The PSUs are divided into two tranches. Each tranche is eligible to vest based on the achievement of a stock price goal (each, a “Company Stock Price Target”), measured based on the average of the closing prices of the Common Stock over a consecutive 30 trading day period during the performance period as set forth below. This measurement period is designed to reward Mr. Vernachio only if the Company achieves sustained growth in the Company’s stock price.</w:t>
      </w:r>
    </w:p>
    <w:p>
      <w:pPr>
        <w:pStyle w:val="TextBody"/>
        <w:bidi w:val="0"/>
        <w:spacing w:lineRule="auto" w:line="312" w:before="24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each tranche, including the percentage of PSUs eligible to vest per tranche and the applicable Company Stock Price Target.</w:t>
      </w:r>
    </w:p>
    <w:tbl>
      <w:tblPr>
        <w:tblW w:w="7104"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578"/>
        <w:gridCol w:w="1688"/>
        <w:gridCol w:w="298"/>
        <w:gridCol w:w="109"/>
        <w:gridCol w:w="109"/>
        <w:gridCol w:w="10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Tranche</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Company Stock Price Target</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Percentage of PSUs eligible to vest</w:t>
            </w:r>
          </w:p>
        </w:tc>
      </w:tr>
      <w:tr>
        <w:trPr/>
        <w:tc>
          <w:tcPr>
            <w:tcW w:w="8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 of PSUs</w:t>
            </w:r>
          </w:p>
        </w:tc>
      </w:tr>
      <w:tr>
        <w:trPr/>
        <w:tc>
          <w:tcPr>
            <w:tcW w:w="841"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FFFFFF"/>
              <w:bottom w:val="single" w:sz="8" w:space="0" w:color="FFFFFF"/>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98" w:type="dxa"/>
            <w:tcBorders>
              <w:top w:val="single" w:sz="8" w:space="0" w:color="FFFFFF"/>
              <w:bottom w:val="single" w:sz="8" w:space="0" w:color="FFFF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 of PSUs</w:t>
            </w:r>
          </w:p>
        </w:tc>
      </w:tr>
    </w:tbl>
    <w:p>
      <w:pPr>
        <w:pStyle w:val="TextBody"/>
        <w:bidi w:val="0"/>
        <w:spacing w:lineRule="auto" w:line="312" w:before="240" w:after="240"/>
        <w:jc w:val="left"/>
        <w:rPr>
          <w:rFonts w:ascii="Times New Roman;serif" w:hAnsi="Times New Roman;serif"/>
          <w:b w:val="false"/>
          <w:color w:val="000000"/>
          <w:sz w:val="20"/>
        </w:rPr>
      </w:pPr>
      <w:r>
        <w:rPr>
          <w:rFonts w:ascii="Times New Roman;serif" w:hAnsi="Times New Roman;serif"/>
          <w:b w:val="false"/>
          <w:color w:val="000000"/>
          <w:sz w:val="20"/>
        </w:rPr>
        <w:t>Upon achievement of a Company Stock Price Target, the PSUs in the applicable tranche will vest 50% upon the certification of achievement by the Management Compensation and Leadership Committee of the Board and 50% on the one year anniversary of such certification, subject in each case to Mr. Vernachio’s continued service as CEO through the applicable vesting date.</w:t>
      </w:r>
    </w:p>
    <w:p>
      <w:pPr>
        <w:pStyle w:val="TextBody"/>
        <w:bidi w:val="0"/>
        <w:spacing w:lineRule="auto" w:line="312" w:before="240" w:after="240"/>
        <w:jc w:val="left"/>
        <w:rPr>
          <w:rFonts w:ascii="Times New Roman;serif" w:hAnsi="Times New Roman;serif"/>
          <w:b w:val="false"/>
          <w:color w:val="000000"/>
          <w:sz w:val="20"/>
        </w:rPr>
      </w:pPr>
      <w:r>
        <w:rPr>
          <w:rFonts w:ascii="Times New Roman;serif" w:hAnsi="Times New Roman;serif"/>
          <w:b w:val="false"/>
          <w:color w:val="000000"/>
          <w:sz w:val="20"/>
        </w:rPr>
        <w:t>If the average closing price of the Common Stock fails to reach the Company Stock Price Target for a particular tranche of the PSUs over a consecutive 30 trading day period during the performance period, or if Mr. Vernachio terminates service to the Company as CEO before achieving the Company Stock Price Target, no portion of that tranche will vest and unearned shares are forfeited. The Company Stock Price Targets and number of Shares underlying the PSUs will be adjusted to reflect any stock splits, stock dividends, combinations, reorganizations, reclassifications, or similar event under the Company’s 2021 Equity Incentive Plan.</w:t>
      </w:r>
    </w:p>
    <w:p>
      <w:pPr>
        <w:pStyle w:val="TextBody"/>
        <w:bidi w:val="0"/>
        <w:spacing w:lineRule="auto" w:line="312" w:before="240" w:after="240"/>
        <w:jc w:val="left"/>
        <w:rPr>
          <w:rFonts w:ascii="Times New Roman;serif" w:hAnsi="Times New Roman;serif"/>
          <w:b w:val="false"/>
          <w:color w:val="000000"/>
          <w:sz w:val="20"/>
        </w:rPr>
      </w:pPr>
      <w:r>
        <w:rPr>
          <w:rFonts w:ascii="Times New Roman;serif" w:hAnsi="Times New Roman;serif"/>
          <w:b w:val="false"/>
          <w:color w:val="000000"/>
          <w:sz w:val="20"/>
        </w:rPr>
        <w:t>In the event of a change in control (as such term is defined in the Company’s 2021 Equity Incentive Plan) of the Company before the end of the performance period, the price in the change in control will be used to determine performance versus the Company Stock Price Targets for each tranche. For each tranche, if the change in control price exceeds the respective tranche’s Company Stock Price Target, all PSUs subject to that tranche shall be earned. PSUs earned based on the change in control price will vest immediately prior to the closing of the change in control and any unearned PSUs will be forfeited.</w:t>
      </w:r>
    </w:p>
    <w:p>
      <w:pPr>
        <w:pStyle w:val="TextBody"/>
        <w:bidi w:val="0"/>
        <w:spacing w:lineRule="auto" w:line="312" w:before="240" w:after="240"/>
        <w:jc w:val="both"/>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333"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is eligible to participate in our Severance and Change in Control Plan (the “Severance Plan”) as described immediately below, and each of our named executive officers entered into a Severance Plan participation agreement. </w:t>
      </w:r>
    </w:p>
    <w:p>
      <w:pPr>
        <w:pStyle w:val="TextBody"/>
        <w:bidi w:val="0"/>
        <w:spacing w:lineRule="auto" w:line="312"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Severance Plan and an applicable participation agreement thereunder, each of our named executive officers would be eligible to receive certain benefits in the event such officer is involuntarily terminated by us without cause (excluding an involuntary termination due to death or disability) or voluntarily resigns for good reason (as each such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is defined in the Severance Plan) (such termination referred to as a “covered termination”), and enhanced benefits in the event that such covered termination occurs during the period commencing three months prior to, and ending 12 months following, the closing of a change in control (as defined in the 2021 Plan). Such benefits are contingent on the officer’s execution and non-revocation of a general release of claims in favor of the company and certain related parties, unless otherwise stated, and satisfaction of other terms and conditions as described in the Severance Plan and the applicable participation agreement. Any eligibility for benefits under the Severance Plan supersedes and replaces any other plan, policy or practice providing for severance benefits to which an officer may have otherwise been previously entitled. </w:t>
      </w:r>
    </w:p>
    <w:p>
      <w:pPr>
        <w:pStyle w:val="TextBody"/>
        <w:bidi w:val="0"/>
        <w:spacing w:lineRule="auto" w:line="312" w:before="240" w:after="240"/>
        <w:jc w:val="both"/>
        <w:rPr>
          <w:rFonts w:ascii="Times New Roman;serif" w:hAnsi="Times New Roman;serif"/>
          <w:b w:val="false"/>
          <w:color w:val="000000"/>
          <w:sz w:val="20"/>
        </w:rPr>
      </w:pPr>
      <w:r>
        <w:rPr>
          <w:rFonts w:ascii="Times New Roman;serif" w:hAnsi="Times New Roman;serif"/>
          <w:b w:val="false"/>
          <w:color w:val="000000"/>
          <w:sz w:val="20"/>
        </w:rPr>
        <w:t>If such covered termination occurs prior to (i) the officer’s completion of 12 months of continuous service with us and (ii) a change in control, he will be eligible to receive a cash payment in an amount equal to six months of his annual base salary and continuation of health benefits for himself and his eligible dependents under COBRA (or an equivalent taxable cash amount) for up to six months.</w:t>
      </w:r>
    </w:p>
    <w:p>
      <w:pPr>
        <w:pStyle w:val="TextBody"/>
        <w:bidi w:val="0"/>
        <w:spacing w:lineRule="auto" w:line="312" w:before="240" w:after="240"/>
        <w:jc w:val="both"/>
        <w:rPr>
          <w:rFonts w:ascii="Times New Roman;serif" w:hAnsi="Times New Roman;serif"/>
          <w:b w:val="false"/>
          <w:color w:val="000000"/>
          <w:sz w:val="20"/>
        </w:rPr>
      </w:pPr>
      <w:r>
        <w:rPr>
          <w:rFonts w:ascii="Times New Roman;serif" w:hAnsi="Times New Roman;serif"/>
          <w:b w:val="false"/>
          <w:color w:val="000000"/>
          <w:sz w:val="20"/>
        </w:rPr>
        <w:t>If such covered termination occurs during the period commencing three months prior to, and ending 12 months following, the closing of a change in control, each officer will instead be eligible to receive a lump-sum cash payment equal to the sum of (i) 12 months of the officer’s then-current base salary (without giving effect to any reduction triggering good reason), (ii) a prorated portion of such officer’s target bonus for the year in which the covered termination occurs, assuming that any articulated performance goals are achieved at 100% of target, and (iii) continuation of health benefits for the officer and his eligible dependents under COBRA (or an equivalent taxable cash amount) for up to 12 months following the covered termination. Further, the vesting and exercisability of each equity award held by such officer that is subject to time-based vesting shall become fully vested (and, if applicable, fully exercisable); any equity awards subject to performance-vesting shall vest and become exercisable according to the terms of such individual award agreements.</w:t>
      </w:r>
    </w:p>
    <w:p>
      <w:pPr>
        <w:pStyle w:val="TextBody"/>
        <w:bidi w:val="0"/>
        <w:spacing w:lineRule="auto" w:line="333" w:before="240" w:after="240"/>
        <w:jc w:val="both"/>
        <w:rPr>
          <w:rFonts w:ascii="Times New Roman;serif" w:hAnsi="Times New Roman;serif"/>
          <w:b w:val="false"/>
          <w:color w:val="000000"/>
          <w:sz w:val="20"/>
        </w:rPr>
      </w:pPr>
      <w:r>
        <w:rPr>
          <w:rFonts w:ascii="Times New Roman;serif" w:hAnsi="Times New Roman;serif"/>
          <w:b w:val="false"/>
          <w:color w:val="000000"/>
          <w:sz w:val="20"/>
        </w:rPr>
        <w:t>In addition, if, in connection with our change in control, the succeeding or acquiring entity does not assume or continue any outstanding, unvested equity award, and such officer’s continuing employment has not terminated as of immediately prior to the effective time of such change in control, all such equity awards will become fully vested (and, as applicable, fully exercisable), subject to consummation of the change in control transaction, with performance-based awards accelerating as if achieved at 100% of the target level. Such acceleration does not require a covered termination.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333" w:before="240" w:after="240"/>
        <w:jc w:val="both"/>
        <w:rPr>
          <w:rFonts w:ascii="Times New Roman;serif" w:hAnsi="Times New Roman;serif"/>
          <w:b w:val="false"/>
          <w:color w:val="000000"/>
          <w:sz w:val="20"/>
        </w:rPr>
      </w:pPr>
      <w:r>
        <w:rPr>
          <w:rFonts w:ascii="Times New Roman;serif" w:hAnsi="Times New Roman;serif"/>
          <w:b w:val="false"/>
          <w:color w:val="000000"/>
          <w:sz w:val="20"/>
        </w:rPr>
        <w:t>In 2023, Nasdaq adopted new listing standards addressing policy requirements for the mandatory recovery of executive incentive-based compensation by issuers with securities listed on the exchange. Following the adoption of these Nasdaq listing standards, the Board approved and adopted the Allbirds, Inc. Incentive Compensation Recoupment Policy, which adheres to the listing standards of the Nasdaq and the rules of the SEC. In the event the Company is required to prepare an accounting restatement, the policy provides for the mandatory recovery of erroneously awarded incentive-based compensation received by current or former executive officers during the coverage period to the extent that compensation was based on the attainment of a financial reporting measure. Under the policy, the Compensation Committee will require recoupment if it determines that incentive-based compensation received by an executive exceeds the amount of incentive-based compensation that otherwise would have been received, had it been calculated based on the restated amounts.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Practices Related to the Grant of Certain Equity Awards Close in Time to the Release of Material Nonpublic Information</w:t>
      </w:r>
    </w:p>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or practice with respect to the timing of our equity award grants, the Board has historically granted such awards on a predetermined annual schedule. In fiscal 2025, we did not grant new awards of stock options to our NEOs during the time period outlined in Item 402(x)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120"/>
        <w:jc w:val="center"/>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adopted a Non-Employee Director Compensation Policy effective November 2, 2021 (the “Effective Date”), which provides for the following compensation to directors who are not also serving as an employee or consultant to us (each such member, a “Non-Employee Director"):</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Annual Cash Compensation</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1.Annual Board Service Retainer:</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Non-Employee Directors: $50,000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b.Lead Director Retainer (in addition to Non-Employee Director Service Retainer): $15,000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2.Annual Committee Chair Service Retainer:</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a.Chair of the Audit Committee: $20,000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b.Chair of the Management Compensation and Leadership Committee: $15,000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c.Chair of the Sustainability, Nomination and Governance Committee: $10,000</w:t>
      </w:r>
    </w:p>
    <w:p>
      <w:pPr>
        <w:pStyle w:val="TextBody"/>
        <w:bidi w:val="0"/>
        <w:spacing w:before="120" w:after="120"/>
        <w:jc w:val="both"/>
        <w:rPr/>
      </w:pPr>
      <w:r>
        <w:rPr/>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3.Annual Committee Member Service Retainer (not applicable to Committee Chairs):</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a.Member of the Audit Committee: $10,000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b.Member of the Management Compensation and Leadership Committee: $7,500</w:t>
      </w:r>
    </w:p>
    <w:p>
      <w:pPr>
        <w:pStyle w:val="TextBody"/>
        <w:bidi w:val="0"/>
        <w:spacing w:lineRule="auto" w:line="333"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c.Member of the Sustainability, Nomination and Governance Committee: $5,000</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Compensation</w:t>
      </w:r>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cash compensation, each Non-Employee Director is eligible to receive restricted stock unit awards granted under our 2021 Equity Incentive Plan (the “2021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pStyle w:val="TextBody"/>
        <w:bidi w:val="0"/>
        <w:spacing w:lineRule="auto" w:line="333" w:before="120" w:after="120"/>
        <w:jc w:val="both"/>
        <w:rPr/>
      </w:pPr>
      <w:r>
        <w:rPr>
          <w:rFonts w:ascii="Times New Roman;serif" w:hAnsi="Times New Roman;serif"/>
          <w:b/>
          <w:i/>
          <w:color w:val="000000"/>
          <w:sz w:val="20"/>
          <w:shd w:fill="FFFFFF" w:val="clear"/>
        </w:rPr>
        <w:t>Initial Grant</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Each new Non-Employee Director elected or appointed to our Board of Directors after the Effective Date will be granted an initial, one-time restricted stock unit award with a grant date fair value of $200,000, which will vest in three equal annual installments such that the initial award will be fully vested on the third anniversary of the grant date, subject to the Non-Employee Director’s continuous service through each vesting date.</w:t>
      </w:r>
    </w:p>
    <w:p>
      <w:pPr>
        <w:pStyle w:val="TextBody"/>
        <w:bidi w:val="0"/>
        <w:spacing w:lineRule="auto" w:line="333" w:before="120" w:after="120"/>
        <w:jc w:val="both"/>
        <w:rPr/>
      </w:pPr>
      <w:r>
        <w:rPr>
          <w:rFonts w:ascii="Times New Roman;serif" w:hAnsi="Times New Roman;serif"/>
          <w:b/>
          <w:i/>
          <w:color w:val="000000"/>
          <w:sz w:val="20"/>
          <w:shd w:fill="FFFFFF" w:val="clear"/>
        </w:rPr>
        <w:t>Annual Awards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On the date of each annual stockholder meeting of the Company held after the Effective Date, each Non-Employee Director who continues to serve as a non-employee member of the Board of Directors following such stockholder meeting (excluding any Non-Employee Director who is first appointed to or elected by the Board of Directors at such meeting) will be granted a restricted stock unit award with a grant date fair value of $150,000, which will vest on the earlier to occur of the first anniversary of the grant date and the date of the Company’s next annual stockholder meeting, subject to the Non-Employee Director’s continuous service through each vesting date. With respect to a Non-Employee Director who, following the Effective Date, is first elected or appointed to the Board on a date other than the date of the Company’s annual stockholder meeting and who has served for fewer than six months prior to the date of the next occurring annual stockholder meeting, such Non-Employee Director’s first annual grant will be pro-rated to reflect the time between such Non-Employee Director’s election or appointment date and the date of such first annual stockholder meeting.</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2024, the Compensation Committee approved a reduction in the 2024 annual restricted stock unit award from a grant date fair value of $150,000 to 3,000 restricted stock units, which was equivalent to a grant date fair value of $32,202.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2025, the Compensation Committee approved an annual restricted stock unit award of 6,200 restricted stock units, which was equivalent to a grant date fair value of $55,800.</w:t>
      </w:r>
    </w:p>
    <w:p>
      <w:pPr>
        <w:pStyle w:val="TextBody"/>
        <w:bidi w:val="0"/>
        <w:spacing w:lineRule="auto" w:line="333" w:before="120" w:after="120"/>
        <w:jc w:val="both"/>
        <w:rPr/>
      </w:pPr>
      <w:r>
        <w:rPr>
          <w:rFonts w:ascii="Times New Roman;serif" w:hAnsi="Times New Roman;serif"/>
          <w:b/>
          <w:i/>
          <w:color w:val="000000"/>
          <w:sz w:val="20"/>
          <w:shd w:fill="FFFFFF" w:val="clear"/>
        </w:rPr>
        <w:t>Change in Control</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Annual awards granted under the policy vest in full upon a Change in Control (as defined in the 2021 Plan), subject to the Non-Employee Director’s continuous service through such date.</w:t>
      </w:r>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Non-Employee Director may decline all or any portion of such Non-Employee Director’s compensation by giving notice to us prior to the date cash may be paid or equity awards are to be granted, as the case may be.</w:t>
      </w:r>
    </w:p>
    <w:p>
      <w:pPr>
        <w:pStyle w:val="TextBody"/>
        <w:bidi w:val="0"/>
        <w:spacing w:lineRule="auto" w:line="333"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Reimbursement of Expenses</w:t>
      </w:r>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the compensation outlined above, we will reimburse each Non-Employee Director for expenses incurred, if any, for attendance at each regular or special meeting of the Board of Directors and at any meeting of a committee of the Board, as well as for other reasonable expenses incurred with respect to duties as a member of the Board or any committee thereof.</w:t>
      </w:r>
    </w:p>
    <w:p>
      <w:pPr>
        <w:pStyle w:val="TextBody"/>
        <w:bidi w:val="0"/>
        <w:spacing w:lineRule="auto" w:line="333"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Director Compensation for Fiscal Year 2025</w:t>
      </w:r>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information regarding the compensation earned or paid to our directors during the fiscal year ended December 31, 2025, other than for Joe Vernachio, our President and Chief Executive Officer, whom is also a member of our Board of Directors but did not receive any additional compensation for service as a director. The compensation of Mr. Vernachio as a named executive officer is set forth below under “Executive Compensation—Summary Compensation Table.”</w:t>
      </w:r>
    </w:p>
    <w:tbl>
      <w:tblPr>
        <w:tblW w:w="8389" w:type="dxa"/>
        <w:jc w:val="left"/>
        <w:tblInd w:w="0" w:type="dxa"/>
        <w:tblLayout w:type="fixed"/>
        <w:tblCellMar>
          <w:top w:w="28" w:type="dxa"/>
          <w:left w:w="28" w:type="dxa"/>
          <w:bottom w:w="28" w:type="dxa"/>
          <w:right w:w="28" w:type="dxa"/>
        </w:tblCellMar>
      </w:tblPr>
      <w:tblGrid>
        <w:gridCol w:w="601"/>
        <w:gridCol w:w="529"/>
        <w:gridCol w:w="535"/>
        <w:gridCol w:w="109"/>
        <w:gridCol w:w="109"/>
        <w:gridCol w:w="109"/>
        <w:gridCol w:w="774"/>
        <w:gridCol w:w="774"/>
        <w:gridCol w:w="777"/>
        <w:gridCol w:w="109"/>
        <w:gridCol w:w="109"/>
        <w:gridCol w:w="109"/>
        <w:gridCol w:w="494"/>
        <w:gridCol w:w="494"/>
        <w:gridCol w:w="496"/>
        <w:gridCol w:w="109"/>
        <w:gridCol w:w="109"/>
        <w:gridCol w:w="109"/>
        <w:gridCol w:w="259"/>
        <w:gridCol w:w="259"/>
        <w:gridCol w:w="263"/>
        <w:gridCol w:w="109"/>
        <w:gridCol w:w="109"/>
        <w:gridCol w:w="109"/>
        <w:gridCol w:w="241"/>
        <w:gridCol w:w="241"/>
        <w:gridCol w:w="344"/>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69" w:before="53" w:after="30"/>
              <w:jc w:val="center"/>
              <w:rPr/>
            </w:pPr>
            <w:r>
              <w:rPr>
                <w:rFonts w:ascii="Times New Roman;serif" w:hAnsi="Times New Roman;serif"/>
                <w:b/>
                <w:color w:val="000000"/>
                <w:sz w:val="16"/>
              </w:rPr>
              <w:t>Stock 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6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Lily Yan Hughes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211,250</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Levitan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130,800</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Zwillinger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105800</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Dick Boyce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135,800</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Timothy Brown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369" w:before="0" w:after="0"/>
              <w:jc w:val="both"/>
              <w:rPr/>
            </w:pPr>
            <w:r>
              <w:rPr>
                <w:rFonts w:ascii="Times New Roman;serif" w:hAnsi="Times New Roman;serif"/>
                <w:b w:val="false"/>
                <w:color w:val="000000"/>
                <w:sz w:val="20"/>
              </w:rPr>
              <w:t>Ravi Thanawala</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125,800</w:t>
            </w:r>
          </w:p>
        </w:tc>
      </w:tr>
    </w:tbl>
    <w:p>
      <w:pPr>
        <w:pStyle w:val="TextBody"/>
        <w:bidi w:val="0"/>
        <w:spacing w:lineRule="auto" w:line="333" w:before="0" w:after="240"/>
        <w:jc w:val="both"/>
        <w:rPr>
          <w:color w:val="000000"/>
          <w:u w:val="single"/>
        </w:rPr>
      </w:pPr>
      <w:r>
        <w:rPr>
          <w:color w:val="000000"/>
          <w:u w:val="single"/>
        </w:rPr>
        <w:t>    </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amounts reported in this column do not reflect dollar amounts actually received by the director. Instead, the amounts represent the aggregate grant date fair value of awards computed in accordance with Financial Accounting Standards Board Accounting Standards Codification Topic 718 (“ASC 718"), the basis for computing stock-based compensation in our financial statements. This calculation assumes that the Non-Employee Director will perform the requisite service for the award to vest in full as required by SEC rules. These amounts do not reflect the actual economic value that will be realized by the Non-Employee Director upon the settlement of such stock awards or the sale of the Class A common stock issuable upon the settlement of such stock awards. The assumptions we used in valuing stock awards are described in Note 2 to our consolidated financial statements.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Ms. Hughes joined the Board in October 2025 and the fees earned or paid in cash reflects the pro rata amount earned in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During the fiscal year ended December 31, 2025, Mr. Brown was employed by the Company as Co-founder &amp; Brand Ambassador, a non-executive role.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The amount reported includes a $20,000 one-time cash stipend approved by the Management Leadership and Compensation Committee on May 20, 2025 related to additional responsibilities assumed throughout the year.</w:t>
      </w:r>
    </w:p>
    <w:p>
      <w:pPr>
        <w:pStyle w:val="TextBody"/>
        <w:bidi w:val="0"/>
        <w:spacing w:before="0" w:after="0"/>
        <w:jc w:val="both"/>
        <w:rPr/>
      </w:pPr>
      <w:r>
        <w:rPr/>
      </w:r>
    </w:p>
    <w:p>
      <w:pPr>
        <w:pStyle w:val="TextBody"/>
        <w:bidi w:val="0"/>
        <w:spacing w:lineRule="auto" w:line="333" w:before="0" w:after="240"/>
        <w:jc w:val="both"/>
        <w:rPr/>
      </w:pPr>
      <w:r>
        <w:rPr>
          <w:rFonts w:ascii="Times New Roman;serif" w:hAnsi="Times New Roman;serif"/>
          <w:b w:val="false"/>
          <w:color w:val="000000"/>
          <w:sz w:val="20"/>
        </w:rPr>
        <w:t>The following table sets forth Class A and Class B common stock underlying outstanding stock options held by our directors and unvested restricted stock unit awards held as of December 31, 2024 by each director who was serving as of December 31, 2024, except</w:t>
      </w:r>
      <w:r>
        <w:rPr>
          <w:color w:val="000000"/>
          <w:shd w:fill="FFFFFF" w:val="clear"/>
        </w:rPr>
        <w:t xml:space="preserve"> </w:t>
      </w:r>
      <w:r>
        <w:rPr>
          <w:rFonts w:ascii="Times New Roman;serif" w:hAnsi="Times New Roman;serif"/>
          <w:b w:val="false"/>
          <w:color w:val="000000"/>
          <w:sz w:val="20"/>
          <w:shd w:fill="FFFFFF" w:val="clear"/>
        </w:rPr>
        <w:t>for Joseph Zwillinger, our former President and Chief Executive Officer, and for Joe Vernachio, our President and Chief Executive Officer, each of whose outstanding equity is disclosed under the “Executive Compensation—Outstanding Equity Awards at Fiscal Year-End."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tbl>
      <w:tblPr>
        <w:tblW w:w="10061" w:type="dxa"/>
        <w:jc w:val="left"/>
        <w:tblInd w:w="0" w:type="dxa"/>
        <w:tblLayout w:type="fixed"/>
        <w:tblCellMar>
          <w:top w:w="28" w:type="dxa"/>
          <w:left w:w="28" w:type="dxa"/>
          <w:bottom w:w="28" w:type="dxa"/>
          <w:right w:w="28" w:type="dxa"/>
        </w:tblCellMar>
      </w:tblPr>
      <w:tblGrid>
        <w:gridCol w:w="569"/>
        <w:gridCol w:w="499"/>
        <w:gridCol w:w="507"/>
        <w:gridCol w:w="109"/>
        <w:gridCol w:w="109"/>
        <w:gridCol w:w="109"/>
        <w:gridCol w:w="1269"/>
        <w:gridCol w:w="1269"/>
        <w:gridCol w:w="1272"/>
        <w:gridCol w:w="1270"/>
        <w:gridCol w:w="1270"/>
        <w:gridCol w:w="1809"/>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 Outstanding at Fiscal Year End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Restricted Stock Units at Fiscal Year End (#)</w:t>
            </w:r>
          </w:p>
        </w:tc>
      </w:tr>
      <w:tr>
        <w:trPr/>
        <w:tc>
          <w:tcPr>
            <w:tcW w:w="15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Lily Yan 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Levitan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Joseph Zwillinger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Dick Boyce</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Timothy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76,810</w:t>
            </w:r>
            <w:r>
              <w:rPr>
                <w:rFonts w:ascii="Times New Roman;serif" w:hAnsi="Times New Roman;serif"/>
                <w:b w:val="false"/>
                <w:color w:val="000000"/>
                <w:sz w:val="13"/>
              </w:rPr>
              <w:t>(1)</w:t>
            </w:r>
          </w:p>
        </w:tc>
        <w:tc>
          <w:tcPr>
            <w:tcW w:w="4349" w:type="dxa"/>
            <w:gridSpan w:val="3"/>
            <w:tcBorders/>
            <w:shd w:fill="CCEE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369" w:before="0" w:after="283"/>
              <w:jc w:val="both"/>
              <w:rPr>
                <w:rFonts w:ascii="Times New Roman;serif" w:hAnsi="Times New Roman;serif"/>
                <w:b w:val="false"/>
                <w:color w:val="000000"/>
                <w:sz w:val="20"/>
              </w:rPr>
            </w:pPr>
            <w:r>
              <w:rPr>
                <w:rFonts w:ascii="Times New Roman;serif" w:hAnsi="Times New Roman;serif"/>
                <w:b w:val="false"/>
                <w:color w:val="000000"/>
                <w:sz w:val="20"/>
              </w:rPr>
              <w:t>Ravi Thanawala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369" w:before="0" w:after="0"/>
              <w:jc w:val="right"/>
              <w:rPr>
                <w:color w:val="000000"/>
              </w:rPr>
            </w:pPr>
            <w:r>
              <w:rPr>
                <w:color w:val="000000"/>
              </w:rPr>
              <w:t>—</w:t>
            </w:r>
          </w:p>
        </w:tc>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w:t>
            </w:r>
          </w:p>
        </w:tc>
      </w:tr>
    </w:tbl>
    <w:p>
      <w:pPr>
        <w:pStyle w:val="TextBody"/>
        <w:bidi w:val="0"/>
        <w:spacing w:lineRule="auto" w:line="333" w:before="0" w:after="240"/>
        <w:jc w:val="both"/>
        <w:rPr>
          <w:color w:val="000000"/>
          <w:u w:val="single"/>
        </w:rPr>
      </w:pPr>
      <w:r>
        <w:rPr>
          <w:color w:val="000000"/>
          <w:u w:val="single"/>
        </w:rPr>
        <w:t>    </w:t>
      </w:r>
    </w:p>
    <w:p>
      <w:pPr>
        <w:pStyle w:val="TextBody"/>
        <w:bidi w:val="0"/>
        <w:spacing w:lineRule="auto" w:line="333" w:before="0" w:after="2"/>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Mr. Brown's option awards outstanding at fiscal year end are comprised of (1) 45,559 options exercisable for our Class A common stock and (2) 31,251 options exercisable for our Class B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February 28, 2026.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742"/>
        <w:gridCol w:w="652"/>
        <w:gridCol w:w="635"/>
        <w:gridCol w:w="109"/>
        <w:gridCol w:w="109"/>
        <w:gridCol w:w="109"/>
        <w:gridCol w:w="380"/>
        <w:gridCol w:w="380"/>
        <w:gridCol w:w="382"/>
        <w:gridCol w:w="109"/>
        <w:gridCol w:w="109"/>
        <w:gridCol w:w="109"/>
        <w:gridCol w:w="357"/>
        <w:gridCol w:w="357"/>
        <w:gridCol w:w="359"/>
        <w:gridCol w:w="109"/>
        <w:gridCol w:w="109"/>
        <w:gridCol w:w="109"/>
        <w:gridCol w:w="723"/>
        <w:gridCol w:w="373"/>
        <w:gridCol w:w="375"/>
        <w:gridCol w:w="109"/>
        <w:gridCol w:w="109"/>
        <w:gridCol w:w="109"/>
        <w:gridCol w:w="929"/>
        <w:gridCol w:w="929"/>
        <w:gridCol w:w="1324"/>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369" w:before="53"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Securities to be</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Issued Upon</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Exercise of</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Warrants</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and</w:t>
            </w:r>
          </w:p>
          <w:p>
            <w:pPr>
              <w:pStyle w:val="TableContents"/>
              <w:bidi w:val="0"/>
              <w:spacing w:lineRule="auto" w:line="369" w:before="0" w:after="30"/>
              <w:jc w:val="center"/>
              <w:rPr/>
            </w:pPr>
            <w:r>
              <w:rPr>
                <w:rFonts w:ascii="Times New Roman;serif" w:hAnsi="Times New Roman;serif"/>
                <w:b/>
                <w:color w:val="000000"/>
                <w:sz w:val="16"/>
              </w:rPr>
              <w:t>Rights (a)</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369" w:before="53" w:after="30"/>
              <w:jc w:val="center"/>
              <w:rPr/>
            </w:pPr>
            <w:r>
              <w:rPr>
                <w:rFonts w:ascii="Times New Roman;serif" w:hAnsi="Times New Roman;serif"/>
                <w:b/>
                <w:color w:val="000000"/>
                <w:sz w:val="16"/>
              </w:rPr>
              <w:t>Weighted-Average</w:t>
              <w:br/>
              <w:t>Exercise</w:t>
              <w:br/>
              <w:t>Price of</w:t>
              <w:br/>
              <w:t>Outstanding</w:t>
              <w:br/>
              <w:t>Options,</w:t>
              <w:br/>
              <w:t>Warrants</w:t>
              <w:br/>
              <w:t>and</w:t>
              <w:br/>
              <w:t>Rights (b)</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cMar>
              <w:top w:w="0" w:type="dxa"/>
              <w:left w:w="0" w:type="dxa"/>
              <w:bottom w:w="0" w:type="dxa"/>
              <w:right w:w="0" w:type="dxa"/>
            </w:tcMar>
            <w:vAlign w:val="center"/>
          </w:tcPr>
          <w:p>
            <w:pPr>
              <w:pStyle w:val="TableContents"/>
              <w:bidi w:val="0"/>
              <w:spacing w:lineRule="auto" w:line="369" w:before="53"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w:t>
            </w:r>
          </w:p>
          <w:p>
            <w:pPr>
              <w:pStyle w:val="TableContents"/>
              <w:bidi w:val="0"/>
              <w:spacing w:lineRule="auto" w:line="369" w:before="0" w:after="0"/>
              <w:jc w:val="center"/>
              <w:rPr>
                <w:rFonts w:ascii="Times New Roman;serif" w:hAnsi="Times New Roman;serif"/>
                <w:b/>
                <w:color w:val="000000"/>
                <w:sz w:val="16"/>
              </w:rPr>
            </w:pPr>
            <w:r>
              <w:rPr>
                <w:rFonts w:ascii="Times New Roman;serif" w:hAnsi="Times New Roman;serif"/>
                <w:b/>
                <w:color w:val="000000"/>
                <w:sz w:val="16"/>
              </w:rPr>
              <w:t>Plans (Excluding Securities Reflected in Column</w:t>
            </w:r>
          </w:p>
          <w:p>
            <w:pPr>
              <w:pStyle w:val="TableContents"/>
              <w:bidi w:val="0"/>
              <w:spacing w:lineRule="auto" w:line="369" w:before="0" w:after="30"/>
              <w:jc w:val="center"/>
              <w:rPr>
                <w:rFonts w:ascii="Times New Roman;serif" w:hAnsi="Times New Roman;serif"/>
                <w:b/>
                <w:color w:val="000000"/>
                <w:sz w:val="16"/>
              </w:rPr>
            </w:pPr>
            <w:r>
              <w:rPr>
                <w:rFonts w:ascii="Times New Roman;serif" w:hAnsi="Times New Roman;serif"/>
                <w:b/>
                <w:color w:val="000000"/>
                <w:sz w:val="16"/>
              </w:rPr>
              <w:t>(a)) (c)</w:t>
            </w:r>
          </w:p>
        </w:tc>
      </w:tr>
      <w:tr>
        <w:trPr/>
        <w:tc>
          <w:tcPr>
            <w:tcW w:w="20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plans approved by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38" w:after="30"/>
              <w:jc w:val="center"/>
              <w:rPr/>
            </w:pPr>
            <w:r>
              <w:rPr>
                <w:color w:val="000000"/>
              </w:rPr>
              <w:t>   </w:t>
            </w:r>
            <w:r>
              <w:rPr>
                <w:rFonts w:ascii="Times New Roman;serif" w:hAnsi="Times New Roman;serif"/>
                <w:b w:val="false"/>
                <w:color w:val="000000"/>
                <w:sz w:val="20"/>
              </w:rPr>
              <w:t>761,859</w:t>
            </w:r>
            <w:r>
              <w:rPr>
                <w:rFonts w:ascii="Times New Roman;serif" w:hAnsi="Times New Roman;serif"/>
                <w:b w:val="false"/>
                <w:color w:val="000000"/>
                <w:sz w:val="13"/>
              </w:rPr>
              <w:t>(4)(5)</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369" w:before="53" w:after="30"/>
              <w:jc w:val="center"/>
              <w:rPr/>
            </w:pPr>
            <w:r>
              <w:rPr>
                <w:rFonts w:ascii="Times New Roman;serif" w:hAnsi="Times New Roman;serif"/>
                <w:b w:val="false"/>
                <w:color w:val="000000"/>
                <w:sz w:val="20"/>
              </w:rPr>
              <w:t>Class B</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w:t>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plans not approved by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r>
    </w:tbl>
    <w:p>
      <w:pPr>
        <w:pStyle w:val="TextBody"/>
        <w:bidi w:val="0"/>
        <w:spacing w:lineRule="auto" w:line="333" w:before="0" w:after="0"/>
        <w:jc w:val="both"/>
        <w:rPr>
          <w:color w:val="000000"/>
          <w:u w:val="single"/>
        </w:rPr>
      </w:pPr>
      <w:r>
        <w:rPr>
          <w:color w:val="000000"/>
          <w:u w:val="single"/>
        </w:rPr>
        <w:t>    </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the 2021 Plan but does not include future rights to purchase Class A common stock under our 2021 Employee Stock Purchase Plan (the “2021 ESPP”), which depend on a number of factors described in our 2021 ESPP and will not be determined until the end of the applicable purchase period.</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(2)Includes the 2015 Plan.</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(3)The weighted-average exercise price excludes any outstanding restricted stock units, which have no exercise price.</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(4)Includes the 2021 Plan and 2021 ESPP. Stock options, restricted stock units, or other stock awards granted under the 2015 Plan that are forfeited, terminated, expired, or repurchased become available for issuance under the 2021 Plan. Following the adoption of the 2021 Plan, no additional stock awards have been or will be granted under the 2015 Plan.</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(5)The 2021 Plan provides that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shares of our common stock (both Class A and Class B) outstanding on December 31 of the immediately preceding year, except that, before the date of any such increase, our Board of Directors may determine that the increase for such year will be a lesser number of shares. In addition, the 2021 ESPP provides that the number of shares of our Class A common stock reserved for issuance will automatically increase on January 1 of each year for a period of 10 years, beginning on January 1, 2022 and continuing through (and including) January 1, 2031, by the lesser of (1) 1% of the total number of shares of our common stock (both Class A and Class B) outstanding on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of the immediately preceding year and (2) 142,500 shares, except that, before the date of any such increase, our Board of Directors may determine that such increase will be less than the amount set forth in clauses (1) and (2). Accordingly, on January 1, 2026 the number of shares of Class A common stock available for issuance under the 2021 Plan and the 2021 ESPP remained flat, pursuant to these provisions.</w:t>
      </w:r>
    </w:p>
    <w:p>
      <w:pPr>
        <w:pStyle w:val="TextBody"/>
        <w:bidi w:val="0"/>
        <w:spacing w:lineRule="auto" w:line="333" w:before="120" w:after="120"/>
        <w:jc w:val="center"/>
        <w:rPr>
          <w:rFonts w:ascii="Times New Roman;serif" w:hAnsi="Times New Roman;serif"/>
          <w:b/>
          <w:color w:val="000000"/>
          <w:sz w:val="20"/>
        </w:rPr>
      </w:pPr>
      <w:r>
        <w:rPr>
          <w:rFonts w:ascii="Times New Roman;serif" w:hAnsi="Times New Roman;serif"/>
          <w:b/>
          <w:color w:val="000000"/>
          <w:sz w:val="20"/>
        </w:rPr>
        <w:t>SECURITY OWNERSHIP OF</w:t>
        <w:br/>
        <w:t>CERTAIN BENEFICIAL OWNERS AND MANAGEMENT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ownership of the Company’s common stock as of February 28, 2026 by:</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each person or group of affiliated persons known by us to beneficially own greater than 5% of our Class A or Class B common stock;</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each of our named executive officers and directors; and</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 xml:space="preserve">all directors and officers as a group.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Applicable percentage ownership is based on 6,167,752 shares of Class A common stock and 2,540,381 shares of Class B common stock outstanding as of February 28, 2026. In computing the number of shares beneficially owned by a person and the percentage ownership of such person, we deemed to be outstanding all shares subject to options held by the person that are currently exercisable, or exercisable or restricted stock unit awards that would vest based on service-based vesting conditions within 60 days of February 28, 2026. However, except as described above, we did not deem such shares outstanding for the purpose of computing the percentage ownership of any other person.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for each beneficial owner listed in the table below is c/o Allbirds, Inc., 530 Washington Street, San Francisco, CA 94111.</w:t>
      </w:r>
    </w:p>
    <w:tbl>
      <w:tblPr>
        <w:tblW w:w="10205" w:type="dxa"/>
        <w:jc w:val="left"/>
        <w:tblInd w:w="0" w:type="dxa"/>
        <w:tblLayout w:type="fixed"/>
        <w:tblCellMar>
          <w:top w:w="28" w:type="dxa"/>
          <w:left w:w="28" w:type="dxa"/>
          <w:bottom w:w="28" w:type="dxa"/>
          <w:right w:w="28" w:type="dxa"/>
        </w:tblCellMar>
      </w:tblPr>
      <w:tblGrid>
        <w:gridCol w:w="1453"/>
        <w:gridCol w:w="1135"/>
        <w:gridCol w:w="1139"/>
        <w:gridCol w:w="109"/>
        <w:gridCol w:w="109"/>
        <w:gridCol w:w="109"/>
        <w:gridCol w:w="266"/>
        <w:gridCol w:w="266"/>
        <w:gridCol w:w="249"/>
        <w:gridCol w:w="170"/>
        <w:gridCol w:w="170"/>
        <w:gridCol w:w="170"/>
        <w:gridCol w:w="200"/>
        <w:gridCol w:w="186"/>
        <w:gridCol w:w="170"/>
        <w:gridCol w:w="109"/>
        <w:gridCol w:w="109"/>
        <w:gridCol w:w="109"/>
        <w:gridCol w:w="319"/>
        <w:gridCol w:w="319"/>
        <w:gridCol w:w="302"/>
        <w:gridCol w:w="169"/>
        <w:gridCol w:w="169"/>
        <w:gridCol w:w="169"/>
        <w:gridCol w:w="198"/>
        <w:gridCol w:w="185"/>
        <w:gridCol w:w="169"/>
        <w:gridCol w:w="109"/>
        <w:gridCol w:w="109"/>
        <w:gridCol w:w="109"/>
        <w:gridCol w:w="480"/>
        <w:gridCol w:w="480"/>
        <w:gridCol w:w="691"/>
      </w:tblGrid>
      <w:tr>
        <w:trPr/>
        <w:tc>
          <w:tcPr>
            <w:tcW w:w="145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restart"/>
            <w:tcBorders/>
            <w:tcMar>
              <w:top w:w="0" w:type="dxa"/>
              <w:left w:w="0" w:type="dxa"/>
              <w:bottom w:w="0" w:type="dxa"/>
              <w:right w:w="0" w:type="dxa"/>
            </w:tcMar>
            <w:vAlign w:val="center"/>
          </w:tcPr>
          <w:p>
            <w:pPr>
              <w:pStyle w:val="TableContents"/>
              <w:bidi w:val="0"/>
              <w:spacing w:lineRule="auto" w:line="369" w:before="53" w:after="30"/>
              <w:jc w:val="center"/>
              <w:rPr/>
            </w:pPr>
            <w:r>
              <w:rPr>
                <w:rFonts w:ascii="Times New Roman;serif" w:hAnsi="Times New Roman;serif"/>
                <w:b/>
                <w:color w:val="000000"/>
                <w:sz w:val="16"/>
              </w:rPr>
              <w:t>% of Total Voting Power</w:t>
            </w:r>
            <w:r>
              <w:rPr>
                <w:color w:val="000000"/>
              </w:rPr>
              <w:t>†</w:t>
            </w:r>
          </w:p>
        </w:tc>
      </w:tr>
      <w:tr>
        <w:trPr/>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Entities affiliated with Maveron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841,216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Entities affiliated with Fidelity</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824,863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Entities affiliated with Ghost Angel LLC</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Joseph Zwillinger</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640,548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Timothy Brown</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69" w:before="0" w:after="283"/>
              <w:jc w:val="right"/>
              <w:rPr>
                <w:color w:val="000000"/>
              </w:rPr>
            </w:pPr>
            <w:r>
              <w:rPr>
                <w:color w:val="000000"/>
              </w:rPr>
              <w:t>  </w:t>
            </w:r>
            <w:r>
              <w:rPr>
                <w:rFonts w:ascii="Times New Roman;serif" w:hAnsi="Times New Roman;serif"/>
                <w:b w:val="false"/>
                <w:color w:val="000000"/>
                <w:sz w:val="20"/>
              </w:rPr>
              <w:t xml:space="preserve">697,797 </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Ann Mitchell</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Joe Vernachio</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21251</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Dick Boyce</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92,502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Dan Levitan</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841,216 </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Ravi Thanawala</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Lily Yan 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369" w:before="53" w:after="30"/>
              <w:jc w:val="right"/>
              <w:rPr>
                <w:color w:val="000000"/>
              </w:rPr>
            </w:pPr>
            <w:r>
              <w:rPr>
                <w:color w:val="00000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pPr>
            <w:r>
              <w:rPr>
                <w:rFonts w:ascii="Times New Roman;serif" w:hAnsi="Times New Roman;serif"/>
                <w:b w:val="false"/>
                <w:color w:val="000000"/>
                <w:sz w:val="20"/>
              </w:rPr>
              <w:t>All directors and executive officers as a group (8 persons)</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223,313</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2,293,314</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r>
    </w:tbl>
    <w:p>
      <w:pPr>
        <w:pStyle w:val="TextBody"/>
        <w:bidi w:val="0"/>
        <w:spacing w:lineRule="auto" w:line="333" w:before="0" w:after="0"/>
        <w:jc w:val="both"/>
        <w:rPr>
          <w:color w:val="000000"/>
          <w:u w:val="single"/>
        </w:rPr>
      </w:pPr>
      <w:r>
        <w:rPr>
          <w:color w:val="000000"/>
          <w:u w:val="single"/>
        </w:rPr>
        <w:t>    </w:t>
      </w:r>
    </w:p>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    Less than one percent.</w:t>
      </w:r>
    </w:p>
    <w:p>
      <w:pPr>
        <w:pStyle w:val="TextBody"/>
        <w:bidi w:val="0"/>
        <w:spacing w:lineRule="auto" w:line="333" w:before="0" w:after="120"/>
        <w:jc w:val="both"/>
        <w:rPr>
          <w:color w:val="000000"/>
        </w:rPr>
      </w:pPr>
      <w:r>
        <w:rPr>
          <w:color w:val="000000"/>
        </w:rPr>
        <w:t>†    </w:t>
      </w:r>
      <w:r>
        <w:rPr>
          <w:rFonts w:ascii="Times New Roman;serif" w:hAnsi="Times New Roman;serif"/>
          <w:b w:val="false"/>
          <w:color w:val="000000"/>
          <w:sz w:val="16"/>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(1)Based solely on Schedule 13G/A filed on February 10, 2023 by entities associated with Maveron. Consists as of December 31, 2022 of (a) 579,367 shares of Class B common stock held by Maveron Equity Partners V, L.P. (“Maveron Equity Partners V”), (b) 189,936 shares of Class B common stock held by MEP Associates V, L.P. (“MEP Associates V”), and (c) 71,913 shares of Class B common stock held by Maveron V Entrepreneurs’ Fund, L.P. (“Maveron V Entrepreneurs”). Maveron General Partner V, LLC (“Maveron General Partner V”) is the general partner of each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Maveron Equity Partners V, MEP Associates V, and Maveron V Entrepreneurs. Dan Levitan, Jason Stoffer, and David Wu are the managing members of Maveron General Partner V and share voting and investment power over the shares held by Maveron Equity Partners V, MEP Associates V, and Maveron V Entrepreneurs. The address for each person and entity listed above is c/o Maveron LLC, 411 1st Avenue South, Suite 600, Seattle, Washington 98104.</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(2)Based solely on Schedule 13G filed on August 6, 2025 by FMR LLC and Abigail P. Johnson. FMR LLC has the sole voting power with respect to 727,514 shares of Class A common stock and sole dispositive power with respect to 727,514 shares of Class A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person and entity listed above is 245 Summer Street, Boston, Massachusetts 02210.</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(3)Based solely on Schedule 13G filed on May 1, 2025 by Ghost Angel LLC and Adam Parker Draper is the managing member and has the sole voting power with respect to 320,000 shares of Class A common stock help by Ghost Angel LLC. The address for each person and entity listed above is 55 East 3rd Avenue, San Mateo, California, 94401.</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(4)Consists of (a) 546,797 shares of Class B common stock held by Joseph Z. Zwillinger and Elizabeth L. Zwillinger, as Trustees of the Twin Wolves Revocable Trust under Revocable Trust Agreement dated September 27, 2017, of which Mr. Zwillinger is co-trustee and shares voting and investment power over such shares, (b) 93,751 shares of Class B common stock issuable upon the exercise of stock options that were exercisable within 60 days of February 28, 2026, and (c) 42,710 shares of Class A common stock issuable upon the exercise of stock options that were exercisable within 60 days of February 28, 2026.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(5)Consists of (a) 666,546 shares of Class B common stock held by Timothy O. Brown and Lindsay T. Brown, as Trustees of the Grenadier Trust Under Revocable Trust Agreement Dated January 22, 2018, of which Mr. Brown is co-trustee and shares voting and investment power over such shares and (b) 31,251 shares of Class B common stock issuable upon the exercise of stock options that were exercisable within 60 days of February 28, 2026.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(6)Consists of (a) 32,958 shares of Class A common stock, (b) 55,000 shares of Class A common stock issuable upon the exercise of stock options that were exercisable within 60 days of February 28, 2026 and (c) 6,044 Class A restricted stock units that vest within 60 days of February 28, 2026.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(7)Consists of (a) 48,774 shares of Class A common stock, (b) 21,251 shares of Class B common stock issuable upon the exercise of stock options that were exercisable within 60 days of February 28, 2026 and (c) 10,142 Class A restricted stock units that vest within 60 days of February 28, 2026.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(8)Consists of (a) 7,454 shares of Class A common stock and (b) 92,502 shares of Class B common stock.</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(9)Consists of (a) 17,454 shares of Class A common stock and (b) 841,216 shares of Class B common stock held by Maveron Equity Partners V, MEP Associates V, and Maveron V Entrepreneurs.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(10)Consists of 2,777 shares of Class A common stock.</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(11)Consists of (a) 109,417 shares of Class A common stock, (b) 97,710 shares of Class A common stock issuable upon the exercise of stock options that were exercisable within 60 days of February 28, 2026, (c) 16,186 Class A restricted stock units that vest within 60 days of February 28, 2026. (d) 2,147,061 shares of Class B common stock, (e) 146,253 shares of Class B common stock issuable upon the exercise of stock options that were exercisable within 60 days of February 28,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TRANSACTIONS WITH RELATED PERSONS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RELATED PERSON TRANSACTIONS POLICY AND PROCEDURES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2021 in connection with our IPO, our Board of Directors adopted a written Related 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involving an amount that exceeds $120,000. Transactions involving compensation for services provided to the Company as an employee, director, consultant, or similar capacity by a related person are not covered by this policy. A related person is any person who is, or at any time since the beginning of the Company’s last fiscal year was, a director or executive officer of the Company or a nominee to be director of the Company, or more than 5% stockholder of the Company, including any of their immediate family members, and any entity in which such person is an executive officer, partner, or principal or holds a similar control position or in which such person has a 5% or greater beneficial ownership interest.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policy, in the event that the Company proposes to enter into, or materially amend, a related person transaction, management of the Company shall present such related person transaction to the Audit Committee for review, consideration, and approval or ratification. The presentation shall include, to the extent reasonably available, a description of (a) all of the parties thereto, (b) the interests, direct or indirect, of any related person in the transaction in sufficient detail so as to enable the Audit Committee to fully assess such interests, (c) a description of the purpose of the transaction, (d) all of the material facts of the proposed related person transaction, including the proposed aggregate value of such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or, in the case of indebtedness, that amount of principal that would be involved, (e) the benefits to the Company of the proposed related person transaction, (f) if applicable, the availability of other sources of comparable products or services, (g) an assessment of whether the proposed related person transaction is on terms that are comparable to the terms available to or from, as the case may be, an unrelated third party or to employees generally, and (h) management’s recommendation with respect to the proposed related person transaction. In the event the Audit Committee is asked to consider whether to ratify an ongoing related person transaction, in addition to the information identified above, the presentation shall include a description of the extent of work performed and remaining to be performed in connection with the transaction and an assessment of the potential risks and costs of termination of the transaction, and where appropriate, the possibility of modification of the transaction.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identify related person transactions in advance, the Company relies on information supplied by its executive officers, directors, and certain significant stockholders. In considering related 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a director has a direct or indirect material interest in the proposed transaction, the director must recuse himself or herself from the deliberations and approval. If, however, a proposed related person transaction arises in which all directors are deemed to have a direct or indirect material interest in the transaction, the interested directors may participate in the consideration and approval of the proposed related person transaction. The policy requires that, in determining whether to approve, ratify or reject a related person transaction, the Audit Committee approve only those transactions that, in light of known circumstances, are in, or are not inconsistent with, the best interests of the Company and its stockholders, as the Committee determines in the good faith exercise of its discretion.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CERTAIN RELATED PERSON TRANSACTIONS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transactions since January 1, 2025 to which we have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“Non-Employee Director Compensation.”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Employment of an Immediate Family Member</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son of Dick Boyce, a member of our Board of Directors, is currently employed by us and has been employed by us since January 1, 2018. He does not share a household with Mr. Boyce and is not one of our executive officers. In 2025, his salary was between $200,000 and $250,000 and he earned bonuses between $20,000 and $30,000. His current salary is between $50,000 and $75,000. He participates in compensation and incentive plans or arrangements on the same basis as similarly situated employees.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Investors’ Rights Agreement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party to an amended and restated investors’ rights agreement with certain holders of our Class A common stock and Class B common stock, including (1) entities affiliated with Messrs. Zwillinger and Brown, our co-founders and members of our Board of Directors and (2) entities affiliated with Maveron, a holder of greater than 5% of our Class B common stock and affiliate of Mr. Levitan, a member of our Board of Directors, that provided or provides such holders with certain registration rights, including the right to demand that we file a registration statement or request that their shares be covered by a registration statement that we are otherwise filing subject to certain limitations. This agreement terminated upon the completion of our IPO, except with respect to registration rights. Each holder’s registration rights terminate upon the earliest to occur of (a) a deemed liquidation event as defined in our certificate of incorporation, (b) such time as Rule 144 or another similar exemption under the Securities Act is available for the sale of all of such holder’s shares without limitation during a three month period without registration (assuming the Company is in compliance with the current public information required under Rule 144(c)(1)), and (c) the fifth anniversary of the IPO.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contains provisions limiting the liability of directors, and our Bylaws provide that we will indemnify each of our directors and officers to the fullest extent permitted under Delaware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REGARDING THE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INDEPENDENCE OF THE BOARD OF DIRECTORS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required under the Nasdaq Stock Market (“Nasdaq”) listing standards, a majority of the members of a listed company’s board of directors must qualify as “independent,” as affirmatively determined by the board. Consistent with these considerations, based on all the relevant facts and circumstances, the Board has affirmatively determined that the following four directors are independent directors within the meaning of the applicable Nasdaq listing standards: Mr. Boyce, Ms. Hughes, Mr. Levitan, and Mr. Thanawala. In making this determination, the Board found that none of these directors or nominees for director had a material or other disqualifying relationship with the Company. Accordingly, a majority of our directors are independent, as required under applicable Nasdaq listing standards.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INDEPENDENCE OF THE COMMITTEES OF THE BOARD OF DIRECTORS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is composed of three directors: Mr. Boyce, Mr. Levitan, and Mr. Thanawala. The chair of the Audit Committee is Mr. Thanawala. 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including pursuant to Rule 10A-3(b)(1) of the Exchange Act). The Board has also determined that Mr. Thanawala qualifies as an “audit committee financial expert,” as defined in applicable SEC rules.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Compensation and Leadership Committee is composed of two directors: Ms. Hughes and Mr. Levitan. The chair of the Compensation Committee is Mr. Levitan. All members of the Company’s Compensation Committee are independent (as independence is currently defined in Rule 5605(d)(2) of the Nasdaq listing standards).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Sustainability, Nomination, and Governance Committee is currently composed of two directors: Mr. Boyce and Ms. Hughes. The chair of the SNG Committee is Ms. Hughes. All members of the SNG Committee are independent (as independence is currently defined in Rule 5605(a)(2) of the Nasdaq listing standards).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INDEPENDENT REGISTERED PUBLIC ACCOUNTING FIRM FEES AND SERVICES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aggregate fees billed to the Company for the fiscal years ended December 31, 2025 and December 31, 2024, by Deloitte &amp; Touche LLP, the Company’s independent registered public accounting firm.</w:t>
      </w:r>
    </w:p>
    <w:tbl>
      <w:tblPr>
        <w:tblW w:w="4010" w:type="dxa"/>
        <w:jc w:val="left"/>
        <w:tblInd w:w="0" w:type="dxa"/>
        <w:tblLayout w:type="fixed"/>
        <w:tblCellMar>
          <w:top w:w="28" w:type="dxa"/>
          <w:left w:w="28" w:type="dxa"/>
          <w:bottom w:w="28" w:type="dxa"/>
          <w:right w:w="28" w:type="dxa"/>
        </w:tblCellMar>
      </w:tblPr>
      <w:tblGrid>
        <w:gridCol w:w="522"/>
        <w:gridCol w:w="457"/>
        <w:gridCol w:w="460"/>
        <w:gridCol w:w="109"/>
        <w:gridCol w:w="109"/>
        <w:gridCol w:w="109"/>
        <w:gridCol w:w="211"/>
        <w:gridCol w:w="616"/>
        <w:gridCol w:w="109"/>
        <w:gridCol w:w="109"/>
        <w:gridCol w:w="109"/>
        <w:gridCol w:w="109"/>
        <w:gridCol w:w="211"/>
        <w:gridCol w:w="616"/>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erif" w:hAnsi="Times New Roman;serif"/>
                <w:b w:val="false"/>
                <w:color w:val="000000"/>
                <w:sz w:val="20"/>
              </w:rPr>
              <w:t>All Other Fees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6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69"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u w:val="single"/>
        </w:rPr>
      </w:pPr>
      <w:r>
        <w:rPr>
          <w:color w:val="000000"/>
          <w:u w:val="single"/>
        </w:rPr>
        <w:t>    </w:t>
      </w:r>
    </w:p>
    <w:p>
      <w:pPr>
        <w:pStyle w:val="TextBody"/>
        <w:bidi w:val="0"/>
        <w:spacing w:lineRule="auto" w:line="333"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(1)Audit fees consist of fees for professional services provided in connection with the audit of our annual consolidated financial statements, reviews of our quarterly condensed consolidated financial statements, and statutory and regulatory filings or engagements.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(2) All other fees consist of a subscription to the Deloitte Accounting Research Tool.</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All fees described above were pre-approved by the Audit Committee.</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adopted a policy and procedures for the pre-approval of audit and non-audit services rendered by the Company’s independent registered public accounting firm, Deloitte &amp; Touche LLP. The policy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The following documents are filed as part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are filed as part of this Annual Report on Form 10-K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Financial Statement Schedules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 schedules are omitted because they are either not applicable or the information required is presented in the financial statements and notes thereto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Exhibits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23"/>
        <w:gridCol w:w="1488"/>
        <w:gridCol w:w="1502"/>
        <w:gridCol w:w="109"/>
        <w:gridCol w:w="109"/>
        <w:gridCol w:w="109"/>
        <w:gridCol w:w="175"/>
        <w:gridCol w:w="175"/>
        <w:gridCol w:w="177"/>
        <w:gridCol w:w="109"/>
        <w:gridCol w:w="109"/>
        <w:gridCol w:w="109"/>
        <w:gridCol w:w="303"/>
        <w:gridCol w:w="272"/>
        <w:gridCol w:w="273"/>
        <w:gridCol w:w="109"/>
        <w:gridCol w:w="109"/>
        <w:gridCol w:w="109"/>
        <w:gridCol w:w="210"/>
        <w:gridCol w:w="210"/>
        <w:gridCol w:w="211"/>
        <w:gridCol w:w="109"/>
        <w:gridCol w:w="109"/>
        <w:gridCol w:w="109"/>
        <w:gridCol w:w="368"/>
        <w:gridCol w:w="358"/>
        <w:gridCol w:w="51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Ninth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Certificate of Amendment to the Ninth Amended and Restated Certificate of Incorporation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21,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Fifth Amended and Restated Investors’ Rights Agreement by and among the Registrant and certain of its stockholders, dated September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Allbirds, Inc. 2015 Equity Incentive Plan, as amended,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Allbirds, Inc. 2021 Equity Incentive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25,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Allbirds,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7,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indemnification agreement by and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Allbirds, Inc. Severance and Change in Control Plan and form of participation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25,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non-employeedirectorc.htm">
              <w:r>
                <w:rPr>
                  <w:rStyle w:val="InternetLink"/>
                  <w:rFonts w:ascii="Times New Roman;serif" w:hAnsi="Times New Roman;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Offer Letter by and between the Registrant and Ann Mitchell.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Offer Letter by and between the Registrant and Joe Vernachio.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Transition and Special Advisor Agreement between Allbirds, Inc. and Joseph Zwillinger, dated March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1739"/>
        <w:gridCol w:w="1559"/>
        <w:gridCol w:w="1563"/>
        <w:gridCol w:w="109"/>
        <w:gridCol w:w="109"/>
        <w:gridCol w:w="109"/>
        <w:gridCol w:w="148"/>
        <w:gridCol w:w="146"/>
        <w:gridCol w:w="129"/>
        <w:gridCol w:w="109"/>
        <w:gridCol w:w="109"/>
        <w:gridCol w:w="109"/>
        <w:gridCol w:w="276"/>
        <w:gridCol w:w="276"/>
        <w:gridCol w:w="277"/>
        <w:gridCol w:w="109"/>
        <w:gridCol w:w="109"/>
        <w:gridCol w:w="109"/>
        <w:gridCol w:w="190"/>
        <w:gridCol w:w="190"/>
        <w:gridCol w:w="191"/>
        <w:gridCol w:w="109"/>
        <w:gridCol w:w="109"/>
        <w:gridCol w:w="109"/>
        <w:gridCol w:w="457"/>
        <w:gridCol w:w="326"/>
        <w:gridCol w:w="420"/>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Standard Lease Agreement, by and between the Registrant and Eclipse Champagne Building, LLC, dated December 17, 2018, as amended by First Lease Amendment, dated June 26,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2021</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Agreement, dated June 30, 2025, by and between the Registrant and 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333-288434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June 30, 2025, by and among the Company, Second Avenue Capital Partners LLC, and the Lending Parties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idertradingpolicyfinal.htm">
              <w:r>
                <w:rPr>
                  <w:rStyle w:val="InternetLink"/>
                  <w:rFonts w:ascii="Times New Roman;serif" w:hAnsi="Times New Roman;serif"/>
                  <w:b w:val="false"/>
                  <w:color w:val="0000FF"/>
                  <w:sz w:val="20"/>
                  <w:u w:val="single"/>
                </w:rPr>
                <w:t>Insider Trading Policy</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27, 2021</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allbirds10kconsent.htm">
              <w:r>
                <w:rPr>
                  <w:rStyle w:val="InternetLink"/>
                  <w:rFonts w:ascii="Times New Roman;serif" w:hAnsi="Times New Roman;serif"/>
                  <w:b w:val="false"/>
                  <w:color w:val="0000FF"/>
                  <w:sz w:val="20"/>
                  <w:u w:val="single"/>
                </w:rPr>
                <w:t>Consent of Deloitte &amp; Touche LLP, independent registered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d8f2da3ba444fa9d031e91ce613f4_244">
              <w:r>
                <w:rPr>
                  <w:rStyle w:val="InternetLink"/>
                  <w:rFonts w:ascii="Times New Roman;serif" w:hAnsi="Times New Roman;serif"/>
                  <w:b w:val="false"/>
                  <w:color w:val="0000FF"/>
                  <w:sz w:val="20"/>
                  <w:u w:val="single"/>
                </w:rPr>
                <w:t>Power of Attorney (included in the signature pages attached to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rd-q425x10xqexx31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rd-q425x10xqexx31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rd-q425x10x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rd-q425x10x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centivecompensationrecou.htm">
              <w:r>
                <w:rPr>
                  <w:rStyle w:val="InternetLink"/>
                  <w:rFonts w:ascii="Times New Roman;serif" w:hAnsi="Times New Roman;serif"/>
                  <w:b w:val="false"/>
                  <w:color w:val="0000FF"/>
                  <w:sz w:val="20"/>
                  <w:u w:val="single"/>
                </w:rPr>
                <w:t>Allbirds, Inc.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Registrant’s Annual Report on Form 10-K for the fiscal year ended December 31, 2025, has been formatted in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Indicates a management contract or compensatory plan or arrangement.</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18"/>
        </w:rPr>
        <w:t xml:space="preserve">The certifications attached as Exhibits 32.1 and 32.2 that accompany this Annual Report on Form 10-K are not deemed filed with the SEC and are not to be incorporated by reference into any filing of the Registrant under the Securities Act of 1933,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amended, or the Exchange Act,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68cd8f2da3ba444fa9d031e91ce613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522" w:type="dxa"/>
        <w:jc w:val="right"/>
        <w:tblInd w:w="0" w:type="dxa"/>
        <w:tblLayout w:type="fixed"/>
        <w:tblCellMar>
          <w:top w:w="28" w:type="dxa"/>
          <w:left w:w="28" w:type="dxa"/>
          <w:bottom w:w="28" w:type="dxa"/>
          <w:right w:w="28" w:type="dxa"/>
        </w:tblCellMar>
      </w:tblPr>
      <w:tblGrid>
        <w:gridCol w:w="683"/>
        <w:gridCol w:w="601"/>
        <w:gridCol w:w="605"/>
        <w:gridCol w:w="262"/>
        <w:gridCol w:w="262"/>
        <w:gridCol w:w="262"/>
        <w:gridCol w:w="822"/>
        <w:gridCol w:w="822"/>
        <w:gridCol w:w="831"/>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ALLBIRDS,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Joe Vernachio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 Vernachio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Ann Mitchell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 Mitchell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lineRule="auto" w:line="288" w:before="200" w:after="1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individual signature appears below hereby authorizes and appoints Joe Vernachio and Ann Mitchell,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Company and in the capacities and on the dates indicated:</w:t>
      </w:r>
    </w:p>
    <w:p>
      <w:pPr>
        <w:pStyle w:val="TextBody"/>
        <w:bidi w:val="0"/>
        <w:spacing w:before="0" w:after="0"/>
        <w:jc w:val="left"/>
        <w:rPr/>
      </w:pPr>
      <w:r>
        <w:rPr/>
      </w:r>
    </w:p>
    <w:tbl>
      <w:tblPr>
        <w:tblW w:w="9172" w:type="dxa"/>
        <w:jc w:val="center"/>
        <w:tblInd w:w="0" w:type="dxa"/>
        <w:tblLayout w:type="fixed"/>
        <w:tblCellMar>
          <w:top w:w="28" w:type="dxa"/>
          <w:left w:w="28" w:type="dxa"/>
          <w:bottom w:w="28" w:type="dxa"/>
          <w:right w:w="28" w:type="dxa"/>
        </w:tblCellMar>
      </w:tblPr>
      <w:tblGrid>
        <w:gridCol w:w="657"/>
        <w:gridCol w:w="576"/>
        <w:gridCol w:w="581"/>
        <w:gridCol w:w="109"/>
        <w:gridCol w:w="109"/>
        <w:gridCol w:w="109"/>
        <w:gridCol w:w="1747"/>
        <w:gridCol w:w="1747"/>
        <w:gridCol w:w="1771"/>
        <w:gridCol w:w="109"/>
        <w:gridCol w:w="109"/>
        <w:gridCol w:w="109"/>
        <w:gridCol w:w="419"/>
        <w:gridCol w:w="419"/>
        <w:gridCol w:w="601"/>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Date</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Joe Vernachio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Joe Vernachio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Ann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Ann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Zwillinger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Zwillinger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Dick Boyce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Dick Boyce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and Brand Ambassador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Ravi Thanawala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Ravi Thanawala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Lily Yan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Lily Yan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 Levitan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 Levitan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36"/>
        </w:rPr>
      </w:pPr>
      <w:r>
        <w:rPr>
          <w:rFonts w:ascii="Arial;sans-serif" w:hAnsi="Arial;sans-serif"/>
          <w:b/>
          <w:color w:val="000000"/>
          <w:sz w:val="36"/>
        </w:rPr>
        <w:t>Non-Employee Director Compensation Policy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Each member of the Board of Directors (the “</w:t>
      </w:r>
      <w:r>
        <w:rPr>
          <w:rFonts w:ascii="Arial;sans-serif" w:hAnsi="Arial;sans-serif"/>
          <w:b/>
          <w:i/>
          <w:color w:val="000000"/>
          <w:sz w:val="22"/>
        </w:rPr>
        <w:t>Board</w:t>
      </w:r>
      <w:r>
        <w:rPr>
          <w:color w:val="000000"/>
        </w:rPr>
        <w:t>”</w:t>
      </w:r>
      <w:r>
        <w:rPr>
          <w:rFonts w:ascii="Arial;sans-serif" w:hAnsi="Arial;sans-serif"/>
          <w:b w:val="false"/>
          <w:color w:val="000000"/>
          <w:sz w:val="22"/>
        </w:rPr>
        <w:t>) who is not also serving as an employee of or consultant to Allbirds, Inc. (the “</w:t>
      </w:r>
      <w:r>
        <w:rPr>
          <w:rFonts w:ascii="Arial;sans-serif" w:hAnsi="Arial;sans-serif"/>
          <w:b/>
          <w:i/>
          <w:color w:val="000000"/>
          <w:sz w:val="22"/>
        </w:rPr>
        <w:t>Company</w:t>
      </w:r>
      <w:r>
        <w:rPr>
          <w:color w:val="000000"/>
        </w:rPr>
        <w:t>”</w:t>
      </w:r>
      <w:r>
        <w:rPr>
          <w:rFonts w:ascii="Arial;sans-serif" w:hAnsi="Arial;sans-serif"/>
          <w:b w:val="false"/>
          <w:color w:val="000000"/>
          <w:sz w:val="22"/>
        </w:rPr>
        <w:t>) or any of its subsidiaries (each such member, an “</w:t>
      </w:r>
      <w:r>
        <w:rPr>
          <w:rFonts w:ascii="Arial;sans-serif" w:hAnsi="Arial;sans-serif"/>
          <w:b/>
          <w:i/>
          <w:color w:val="000000"/>
          <w:sz w:val="22"/>
        </w:rPr>
        <w:t>Eligible Director</w:t>
      </w:r>
      <w:r>
        <w:rPr>
          <w:color w:val="000000"/>
        </w:rPr>
        <w:t>”</w:t>
      </w:r>
      <w:r>
        <w:rPr>
          <w:rFonts w:ascii="Arial;sans-serif" w:hAnsi="Arial;sans-serif"/>
          <w:b w:val="false"/>
          <w:color w:val="000000"/>
          <w:sz w:val="22"/>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Class A common stock (the “</w:t>
      </w:r>
      <w:r>
        <w:rPr>
          <w:rFonts w:ascii="Arial;sans-serif" w:hAnsi="Arial;sans-serif"/>
          <w:b/>
          <w:i/>
          <w:color w:val="000000"/>
          <w:sz w:val="22"/>
        </w:rPr>
        <w:t>Common Stock</w:t>
      </w:r>
      <w:r>
        <w:rPr>
          <w:color w:val="000000"/>
        </w:rPr>
        <w:t>”</w:t>
      </w:r>
      <w:r>
        <w:rPr>
          <w:rFonts w:ascii="Arial;sans-serif" w:hAnsi="Arial;sans-serif"/>
          <w:b w:val="false"/>
          <w:color w:val="000000"/>
          <w:sz w:val="22"/>
        </w:rPr>
        <w:t>), pursuant to which the Common Stock is priced in such initial public offering (the “</w:t>
      </w:r>
      <w:r>
        <w:rPr>
          <w:rFonts w:ascii="Arial;sans-serif" w:hAnsi="Arial;sans-serif"/>
          <w:b/>
          <w:i/>
          <w:color w:val="000000"/>
          <w:sz w:val="22"/>
        </w:rPr>
        <w:t>Effective Date</w:t>
      </w:r>
      <w:r>
        <w:rPr>
          <w:color w:val="000000"/>
        </w:rPr>
        <w:t>”</w:t>
      </w:r>
      <w:r>
        <w:rPr>
          <w:rFonts w:ascii="Arial;sans-serif" w:hAnsi="Arial;sans-serif"/>
          <w:b w:val="false"/>
          <w:color w:val="000000"/>
          <w:sz w:val="22"/>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Annual Cash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2"/>
        </w:rPr>
        <w:t>1.    </w:t>
      </w:r>
      <w:r>
        <w:rPr>
          <w:rFonts w:ascii="Arial;sans-serif" w:hAnsi="Arial;sans-serif"/>
          <w:b w:val="false"/>
          <w:color w:val="000000"/>
          <w:sz w:val="22"/>
          <w:u w:val="single"/>
        </w:rPr>
        <w:t>Annual Board Service Retainer</w:t>
      </w:r>
      <w:r>
        <w:rPr>
          <w:rFonts w:ascii="Arial;sans-serif" w:hAnsi="Arial;sans-serif"/>
          <w:b w:val="false"/>
          <w:color w:val="000000"/>
          <w:sz w:val="22"/>
        </w:rPr>
        <w:t xml:space="preserv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All Eligible Directors: $50,000</w:t>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b.    Lead Director Retainer (in addition to Eligible Director Service Retainer): $15,000</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2"/>
        </w:rPr>
        <w:t>2.    </w:t>
      </w:r>
      <w:r>
        <w:rPr>
          <w:rFonts w:ascii="Arial;sans-serif" w:hAnsi="Arial;sans-serif"/>
          <w:b w:val="false"/>
          <w:color w:val="000000"/>
          <w:sz w:val="22"/>
          <w:u w:val="single"/>
        </w:rPr>
        <w:t>Annual Committee Chair Service Retainer</w:t>
      </w:r>
      <w:r>
        <w:rPr>
          <w:rFonts w:ascii="Arial;sans-serif" w:hAnsi="Arial;sans-serif"/>
          <w:b w:val="false"/>
          <w:color w:val="000000"/>
          <w:sz w:val="22"/>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Chair of the Audit Committee: $20,000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Chair of the Compensation and Leadership Management Committee: $15,000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Chair of the Sustainability, Nomination and Governance Committee: $10,000</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2"/>
        </w:rPr>
        <w:t>3.    </w:t>
      </w:r>
      <w:r>
        <w:rPr>
          <w:rFonts w:ascii="Arial;sans-serif" w:hAnsi="Arial;sans-serif"/>
          <w:b w:val="false"/>
          <w:color w:val="000000"/>
          <w:sz w:val="22"/>
          <w:u w:val="single"/>
        </w:rPr>
        <w:t>Annual Committee Member Service Retainer (not applicable to Committee Chairs)</w:t>
      </w:r>
      <w:r>
        <w:rPr>
          <w:rFonts w:ascii="Arial;sans-serif" w:hAnsi="Arial;sans-serif"/>
          <w:b w:val="false"/>
          <w:color w:val="000000"/>
          <w:sz w:val="22"/>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Member of the Audit Committee: $10,000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Member of the Compensation and Leadership Management Committee: $7,500</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c.    Member of the Sustainability, Nomination and Governance Committee: $5,000</w: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Expenses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The Company will reimburse Eligible Directors for ordinary, necessary and reasonable out-of-pocket travel expenses to cover in-person attendance at and participation in Board and committee meetings; provided, that the Eligible Director timely submit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appropriate documentation substantiating such expenses in accordance with the Company’s travel and expense policy, as in effect from time to time.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Equity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The equity compensation set forth below will be granted under the Company’s 2021 Equity Incentive Plan (the “</w:t>
      </w:r>
      <w:r>
        <w:rPr>
          <w:rFonts w:ascii="Arial;sans-serif" w:hAnsi="Arial;sans-serif"/>
          <w:b/>
          <w:i/>
          <w:color w:val="000000"/>
          <w:sz w:val="22"/>
        </w:rPr>
        <w:t>Plan</w:t>
      </w:r>
      <w:r>
        <w:rPr>
          <w:color w:val="000000"/>
        </w:rPr>
        <w:t>”</w:t>
      </w:r>
      <w:r>
        <w:rPr>
          <w:rFonts w:ascii="Arial;sans-serif" w:hAnsi="Arial;sans-serif"/>
          <w:b w:val="false"/>
          <w:color w:val="000000"/>
          <w:sz w:val="22"/>
        </w:rPr>
        <w:t>), subject to the approval of the Plan by the Company’s stockholders. All equity awards granted under this policy will be restricted stock units (“</w:t>
      </w:r>
      <w:r>
        <w:rPr>
          <w:rFonts w:ascii="Arial;sans-serif" w:hAnsi="Arial;sans-serif"/>
          <w:b/>
          <w:i/>
          <w:color w:val="000000"/>
          <w:sz w:val="22"/>
        </w:rPr>
        <w:t>RSUs</w:t>
      </w:r>
      <w:r>
        <w:rPr>
          <w:color w:val="000000"/>
        </w:rPr>
        <w:t>”</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Initial Grant</w:t>
      </w:r>
      <w:r>
        <w:rPr>
          <w:rFonts w:ascii="Arial;sans-serif" w:hAnsi="Arial;sans-serif"/>
          <w:b w:val="false"/>
          <w:color w:val="000000"/>
          <w:sz w:val="22"/>
        </w:rPr>
        <w:t>. Effective as of the date of this Policy, without any further action of the Board or Compensation Committee of the Board, each Eligible Director who is elected or appointed for the first time to be an Eligible Director following the Effective Date will automatically, upon the date of his or her initial election or appointment to be an Eligible Director (the “</w:t>
      </w:r>
      <w:r>
        <w:rPr>
          <w:rFonts w:ascii="Arial;sans-serif" w:hAnsi="Arial;sans-serif"/>
          <w:b/>
          <w:i/>
          <w:color w:val="000000"/>
          <w:sz w:val="22"/>
        </w:rPr>
        <w:t>Commencement Date</w:t>
      </w:r>
      <w:r>
        <w:rPr>
          <w:color w:val="000000"/>
        </w:rPr>
        <w:t>”</w:t>
      </w:r>
      <w:r>
        <w:rPr>
          <w:rFonts w:ascii="Arial;sans-serif" w:hAnsi="Arial;sans-serif"/>
          <w:b w:val="false"/>
          <w:color w:val="000000"/>
          <w:sz w:val="22"/>
        </w:rPr>
        <w:t>), will receive an initial, one-time grant of restricted stock units (the “</w:t>
      </w:r>
      <w:r>
        <w:rPr>
          <w:rFonts w:ascii="Arial;sans-serif" w:hAnsi="Arial;sans-serif"/>
          <w:b/>
          <w:i/>
          <w:color w:val="000000"/>
          <w:sz w:val="22"/>
        </w:rPr>
        <w:t>Initial Grant</w:t>
      </w:r>
      <w:r>
        <w:rPr>
          <w:color w:val="000000"/>
        </w:rPr>
        <w:t>”</w:t>
      </w:r>
      <w:r>
        <w:rPr>
          <w:rFonts w:ascii="Arial;sans-serif" w:hAnsi="Arial;sans-serif"/>
          <w:b w:val="false"/>
          <w:color w:val="000000"/>
          <w:sz w:val="22"/>
        </w:rPr>
        <w:t>) with an aggregate grant date fair value of $200,000, that vests in three equal annual installments following the Commencement Date, subject to the Eligible Director’s Continuous Service (as defined in the Plan) through each vesting date. The Initial Grant may only be granted once to any Eligible Director.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Annual Grants</w:t>
      </w:r>
      <w:r>
        <w:rPr>
          <w:rFonts w:ascii="Arial;sans-serif" w:hAnsi="Arial;sans-serif"/>
          <w:b w:val="false"/>
          <w:color w:val="000000"/>
          <w:sz w:val="22"/>
        </w:rPr>
        <w:t>. On the date of each annual stockholder meeting of the Company held after the Effective Date, each Eligible Director who continues to serve as a non-employee member of the Board following such stockholder meeting (excluding any Eligible Director who is first appointed to or elected by the Board at such meeting) will be automatically, and without further action by the Board or the Compensation Committee of the Board, granted RSUs with an aggregate grant date fair value of $150,000 (“</w:t>
      </w:r>
      <w:r>
        <w:rPr>
          <w:rFonts w:ascii="Arial;sans-serif" w:hAnsi="Arial;sans-serif"/>
          <w:b/>
          <w:i/>
          <w:color w:val="000000"/>
          <w:sz w:val="22"/>
        </w:rPr>
        <w:t>Annual Grant</w:t>
      </w:r>
      <w:r>
        <w:rPr>
          <w:color w:val="000000"/>
        </w:rPr>
        <w:t>”</w:t>
      </w:r>
      <w:r>
        <w:rPr>
          <w:rFonts w:ascii="Arial;sans-serif" w:hAnsi="Arial;sans-serif"/>
          <w:b w:val="false"/>
          <w:color w:val="000000"/>
          <w:sz w:val="22"/>
        </w:rPr>
        <w:t>). RSUs subject to the Annual Grant will vest on the earlier to occur of the first anniversary of the grant date and the date of the Company’s next annual stockholder meeting, subject to the Eligible Director’s Continuous Service through the vesting date; provided, that the Annual Grant will vest in full upon a Change in Control (as defined in the Plan), subject to the Eligible Director’s Continuous Service through such date. With respect to an Eligible Director who, following the Effective Date, is first elected or appointed to the Board on a date other than the date of the Company’s annual stockholder meeting and who has served for fewer than six months prior to the date of the next occurring annual stockholder meeting, such Eligible Director’s first Annual Grant will be pro-rated to reflect the time between such Eligible Director’s election or appointment date and the date of such first annual stockholder meeting.</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Non-Employee Director Compensation Limit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Notwithstanding the foregoing, the aggregate value of all compensation granted or paid, as applicable, to any individual for service as a Non-Employee Director (as defined in the Plan) shall in no event exceed the limits set forth in Section 3(d) of the Plan.</w:t>
      </w:r>
    </w:p>
    <w:p>
      <w:pPr>
        <w:pStyle w:val="TextBody"/>
        <w:bidi w:val="0"/>
        <w:spacing w:before="0" w:after="0"/>
        <w:jc w:val="both"/>
        <w:rPr/>
      </w:pPr>
      <w:r>
        <w:rPr/>
      </w:r>
    </w:p>
    <w:p>
      <w:pPr>
        <w:pStyle w:val="TextBody"/>
        <w:bidi w:val="0"/>
        <w:spacing w:lineRule="auto" w:line="288"/>
        <w:jc w:val="both"/>
        <w:rPr>
          <w:rFonts w:ascii="Arial;sans-serif" w:hAnsi="Arial;sans-serif"/>
          <w:b/>
          <w:color w:val="000000"/>
          <w:sz w:val="20"/>
        </w:rPr>
      </w:pPr>
      <w:r>
        <w:rPr>
          <w:rFonts w:ascii="Arial;sans-serif" w:hAnsi="Arial;sans-serif"/>
          <w:b/>
          <w:color w:val="000000"/>
          <w:sz w:val="20"/>
        </w:rPr>
        <w:t>Last Amended: May 29, 2024; Effective: July 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drawing>
          <wp:inline distT="0" distB="0" distL="0" distR="0">
            <wp:extent cx="1495425" cy="561975"/>
            <wp:effectExtent l="0" t="0" r="0" b="0"/>
            <wp:docPr id="1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 descr=""/>
                    <pic:cNvPicPr>
                      <a:picLocks noChangeAspect="1" noChangeArrowheads="1"/>
                    </pic:cNvPicPr>
                  </pic:nvPicPr>
                  <pic:blipFill>
                    <a:blip r:embed="rId18"/>
                    <a:stretch>
                      <a:fillRect/>
                    </a:stretch>
                  </pic:blipFill>
                  <pic:spPr bwMode="auto">
                    <a:xfrm>
                      <a:off x="0" y="0"/>
                      <a:ext cx="1495425" cy="561975"/>
                    </a:xfrm>
                    <a:prstGeom prst="rect">
                      <a:avLst/>
                    </a:prstGeom>
                  </pic:spPr>
                </pic:pic>
              </a:graphicData>
            </a:graphic>
          </wp:inline>
        </w:drawing>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Proxima Nova;sans-serif" w:hAnsi="Proxima Nova;sans-serif"/>
          <w:b/>
          <w:color w:val="000000"/>
          <w:sz w:val="36"/>
        </w:rPr>
      </w:pPr>
      <w:r>
        <w:rPr>
          <w:rFonts w:ascii="Proxima Nova;sans-serif" w:hAnsi="Proxima Nova;sans-serif"/>
          <w:b/>
          <w:color w:val="000000"/>
          <w:sz w:val="36"/>
        </w:rPr>
        <w:t>INSIDER TRADING POLICY</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Proxima Nova;sans-serif" w:hAnsi="Proxima Nova;sans-serif"/>
          <w:b/>
          <w:color w:val="000000"/>
          <w:sz w:val="22"/>
        </w:rPr>
      </w:pPr>
      <w:r>
        <w:rPr>
          <w:rFonts w:ascii="Proxima Nova;sans-serif" w:hAnsi="Proxima Nova;sans-serif"/>
          <w:b/>
          <w:color w:val="000000"/>
          <w:sz w:val="22"/>
        </w:rPr>
        <w:t>POLICY PRINCIPLES</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Employees, directors, contractors, vendors and consultants who may become aware of material nonpublic information (such contractors, vendors and consultants, “</w:t>
      </w:r>
      <w:r>
        <w:rPr>
          <w:rFonts w:ascii="Proxima Nova;sans-serif" w:hAnsi="Proxima Nova;sans-serif"/>
          <w:b/>
          <w:i/>
          <w:color w:val="000000"/>
          <w:sz w:val="22"/>
        </w:rPr>
        <w:t>designated third parties</w:t>
      </w:r>
      <w:r>
        <w:rPr>
          <w:color w:val="000000"/>
        </w:rPr>
        <w:t xml:space="preserve">” </w:t>
      </w:r>
      <w:r>
        <w:rPr>
          <w:rFonts w:ascii="Proxima Nova;sans-serif" w:hAnsi="Proxima Nova;sans-serif"/>
          <w:b w:val="false"/>
          <w:color w:val="000000"/>
          <w:sz w:val="22"/>
        </w:rPr>
        <w:t>and, together with employees and directors, “</w:t>
      </w:r>
      <w:r>
        <w:rPr>
          <w:rFonts w:ascii="Proxima Nova;sans-serif" w:hAnsi="Proxima Nova;sans-serif"/>
          <w:b/>
          <w:i/>
          <w:color w:val="000000"/>
          <w:sz w:val="22"/>
        </w:rPr>
        <w:t>Covered Persons</w:t>
      </w:r>
      <w:r>
        <w:rPr>
          <w:color w:val="000000"/>
        </w:rPr>
        <w:t>”</w:t>
      </w:r>
      <w:r>
        <w:rPr>
          <w:rFonts w:ascii="Proxima Nova;sans-serif" w:hAnsi="Proxima Nova;sans-serif"/>
          <w:b w:val="false"/>
          <w:color w:val="000000"/>
          <w:sz w:val="22"/>
        </w:rPr>
        <w:t>) of Allbirds, Inc., a Delaware public benefit corporation, and its subsidiaries (together, the “</w:t>
      </w:r>
      <w:r>
        <w:rPr>
          <w:rFonts w:ascii="Proxima Nova;sans-serif" w:hAnsi="Proxima Nova;sans-serif"/>
          <w:b/>
          <w:i/>
          <w:color w:val="000000"/>
          <w:sz w:val="22"/>
        </w:rPr>
        <w:t>Company</w:t>
      </w:r>
      <w:r>
        <w:rPr>
          <w:color w:val="000000"/>
        </w:rPr>
        <w:t>”</w:t>
      </w:r>
      <w:r>
        <w:rPr>
          <w:rFonts w:ascii="Proxima Nova;sans-serif" w:hAnsi="Proxima Nova;sans-serif"/>
          <w:b w:val="false"/>
          <w:color w:val="000000"/>
          <w:sz w:val="22"/>
        </w:rPr>
        <w:t xml:space="preserve">) are responsible for understanding the obligations that come with having access to material nonpublic information and wanting to transact in the Company’s securities. </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Covered Persons who are aware of material nonpublic information relating to the Company may not engage in transactions in the Company’s securities except as permitted by this Insider Trading Policy (this “</w:t>
      </w:r>
      <w:r>
        <w:rPr>
          <w:rFonts w:ascii="Proxima Nova;sans-serif" w:hAnsi="Proxima Nova;sans-serif"/>
          <w:b/>
          <w:i/>
          <w:color w:val="000000"/>
          <w:sz w:val="22"/>
        </w:rPr>
        <w:t>Policy</w:t>
      </w:r>
      <w:r>
        <w:rPr>
          <w:color w:val="000000"/>
        </w:rPr>
        <w:t>”</w:t>
      </w:r>
      <w:r>
        <w:rPr>
          <w:rFonts w:ascii="Proxima Nova;sans-serif" w:hAnsi="Proxima Nova;sans-serif"/>
          <w:b w:val="false"/>
          <w:color w:val="000000"/>
          <w:sz w:val="22"/>
        </w:rPr>
        <w:t>) and applicable law.</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 xml:space="preserve">Covered Persons may not disclose material nonpublic information outside of the Company unless the disclosure is made in accordance with a specific Company policy that authorizes such disclosure. </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Covered Persons may not disclose material nonpublic information to persons within the Company whose jobs do not require them to have that information.</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Covered Persons may not recommend the purchase or sale of any Company’s securities.</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Changes to this Policy require approval by the Company’s Board of Directors (the “</w:t>
      </w:r>
      <w:r>
        <w:rPr>
          <w:rFonts w:ascii="Proxima Nova;sans-serif" w:hAnsi="Proxima Nova;sans-serif"/>
          <w:b/>
          <w:i/>
          <w:color w:val="000000"/>
          <w:sz w:val="22"/>
        </w:rPr>
        <w:t>Board</w:t>
      </w:r>
      <w:r>
        <w:rPr>
          <w:color w:val="000000"/>
        </w:rPr>
        <w:t>”</w:t>
      </w:r>
      <w:r>
        <w:rPr>
          <w:rFonts w:ascii="Proxima Nova;sans-serif" w:hAnsi="Proxima Nova;sans-serif"/>
          <w:b w:val="false"/>
          <w:color w:val="000000"/>
          <w:sz w:val="22"/>
        </w:rPr>
        <w:t>) or a duly appointed committee of the Board.</w:t>
      </w:r>
    </w:p>
    <w:p>
      <w:pPr>
        <w:pStyle w:val="TextBody"/>
        <w:bidi w:val="0"/>
        <w:spacing w:lineRule="auto" w:line="288" w:before="0" w:after="240"/>
        <w:jc w:val="both"/>
        <w:rPr>
          <w:rFonts w:ascii="Proxima Nova;sans-serif" w:hAnsi="Proxima Nova;sans-serif"/>
          <w:b/>
          <w:color w:val="000000"/>
          <w:sz w:val="22"/>
        </w:rPr>
      </w:pPr>
      <w:r>
        <w:rPr>
          <w:rFonts w:ascii="Proxima Nova;sans-serif" w:hAnsi="Proxima Nova;sans-serif"/>
          <w:b/>
          <w:color w:val="000000"/>
          <w:sz w:val="22"/>
        </w:rPr>
        <w:t>POLICY Q&amp;A</w:t>
      </w:r>
    </w:p>
    <w:p>
      <w:pPr>
        <w:pStyle w:val="TextBody"/>
        <w:bidi w:val="0"/>
        <w:spacing w:lineRule="auto" w:line="288" w:before="0" w:after="240"/>
        <w:jc w:val="both"/>
        <w:rPr>
          <w:rFonts w:ascii="Proxima Nova;sans-serif" w:hAnsi="Proxima Nova;sans-serif"/>
          <w:b/>
          <w:color w:val="000000"/>
          <w:sz w:val="22"/>
        </w:rPr>
      </w:pPr>
      <w:r>
        <w:rPr>
          <w:rFonts w:ascii="Proxima Nova;sans-serif" w:hAnsi="Proxima Nova;sans-serif"/>
          <w:b/>
          <w:color w:val="000000"/>
          <w:sz w:val="22"/>
        </w:rPr>
        <w:t xml:space="preserve">Policy Scope and Purpose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Why do we have an insider trading policy?</w:t>
      </w:r>
    </w:p>
    <w:p>
      <w:pPr>
        <w:pStyle w:val="TextBody"/>
        <w:bidi w:val="0"/>
        <w:spacing w:lineRule="auto" w:line="288" w:before="0" w:after="240"/>
        <w:ind w:left="0" w:right="0" w:hanging="720"/>
        <w:jc w:val="both"/>
        <w:rPr/>
      </w:pPr>
      <w:r>
        <w:rPr>
          <w:rFonts w:ascii="Proxima Nova;sans-serif" w:hAnsi="Proxima Nova;sans-serif"/>
          <w:b w:val="false"/>
          <w:color w:val="000000"/>
          <w:sz w:val="22"/>
        </w:rPr>
        <w:t>A:     During the course of your relationship with the Company, you may receive material information that is not yet publicly available (“</w:t>
      </w:r>
      <w:r>
        <w:rPr>
          <w:rFonts w:ascii="Proxima Nova;sans-serif" w:hAnsi="Proxima Nova;sans-serif"/>
          <w:b/>
          <w:i/>
          <w:color w:val="000000"/>
          <w:sz w:val="22"/>
        </w:rPr>
        <w:t>material nonpublic information</w:t>
      </w:r>
      <w:r>
        <w:rPr>
          <w:color w:val="000000"/>
        </w:rPr>
        <w:t>”</w:t>
      </w:r>
      <w:r>
        <w:rPr>
          <w:rFonts w:ascii="Proxima Nova;sans-serif" w:hAnsi="Proxima Nova;sans-serif"/>
          <w:b w:val="false"/>
          <w:color w:val="000000"/>
          <w:sz w:val="22"/>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125980"/>
                <wp:effectExtent l="0" t="0" r="0" b="0"/>
                <wp:wrapNone/>
                <wp:docPr id="126" name="Frame125"/>
                <a:graphic xmlns:a="http://schemas.openxmlformats.org/drawingml/2006/main">
                  <a:graphicData uri="http://schemas.microsoft.com/office/word/2010/wordprocessingShape">
                    <wps:wsp>
                      <wps:cNvSpPr txBox="1"/>
                      <wps:spPr>
                        <a:xfrm>
                          <a:off x="0" y="0"/>
                          <a:ext cx="6480175" cy="212598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pPr>
                            <w:r>
                              <w:rPr>
                                <w:rFonts w:ascii="Proxima Nova;sans-serif" w:hAnsi="Proxima Nova;sans-serif"/>
                                <w:b w:val="false"/>
                                <w:color w:val="000000"/>
                                <w:sz w:val="22"/>
                              </w:rPr>
                              <w:t>1</w:t>
                            </w:r>
                            <w:r>
                              <w:rPr/>
                              <w:drawing>
                                <wp:inline distT="0" distB="0" distL="0" distR="0">
                                  <wp:extent cx="2571750" cy="1819275"/>
                                  <wp:effectExtent l="0" t="0" r="0" b="0"/>
                                  <wp:docPr id="1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 descr=""/>
                                          <pic:cNvPicPr>
                                            <a:picLocks noChangeAspect="1" noChangeArrowheads="1"/>
                                          </pic:cNvPicPr>
                                        </pic:nvPicPr>
                                        <pic:blipFill>
                                          <a:blip r:embed="rId19"/>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Proxima Nova;sans-serif" w:hAnsi="Proxima Nova;sans-serif"/>
                          <w:b w:val="false"/>
                          <w:color w:val="000000"/>
                          <w:sz w:val="22"/>
                        </w:rPr>
                        <w:t>1</w:t>
                      </w:r>
                      <w:r>
                        <w:rPr/>
                        <w:drawing>
                          <wp:inline distT="0" distB="0" distL="0" distR="0">
                            <wp:extent cx="2571750" cy="181927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20"/>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Who is subject to this Policy?</w:t>
      </w:r>
    </w:p>
    <w:p>
      <w:pPr>
        <w:pStyle w:val="TextBody"/>
        <w:bidi w:val="0"/>
        <w:spacing w:lineRule="auto" w:line="288" w:before="0" w:after="240"/>
        <w:ind w:left="0" w:right="0" w:hanging="720"/>
        <w:jc w:val="both"/>
        <w:rPr/>
      </w:pPr>
      <w:r>
        <w:rPr>
          <w:rFonts w:ascii="Proxima Nova;sans-serif" w:hAnsi="Proxima Nova;sans-serif"/>
          <w:b w:val="false"/>
          <w:color w:val="000000"/>
          <w:sz w:val="22"/>
        </w:rPr>
        <w:t>A:     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The foregoing persons who are deemed subject to this Policy are referred to in this Policy as “</w:t>
      </w:r>
      <w:r>
        <w:rPr>
          <w:rFonts w:ascii="Proxima Nova;sans-serif" w:hAnsi="Proxima Nova;sans-serif"/>
          <w:b/>
          <w:i/>
          <w:color w:val="000000"/>
          <w:sz w:val="22"/>
        </w:rPr>
        <w:t>Related Persons</w:t>
      </w:r>
      <w:r>
        <w:rPr>
          <w:rFonts w:ascii="Proxima Nova;sans-serif" w:hAnsi="Proxima Nova;sans-serif"/>
          <w:b w:val="false"/>
          <w:color w:val="000000"/>
          <w:sz w:val="22"/>
        </w:rPr>
        <w:t xml:space="preserve">.” You are responsible for making sure that your Related Persons comply with this Policy. </w:t>
      </w:r>
    </w:p>
    <w:p>
      <w:pPr>
        <w:pStyle w:val="TextBody"/>
        <w:bidi w:val="0"/>
        <w:spacing w:lineRule="auto" w:line="288" w:before="0" w:after="240"/>
        <w:ind w:left="0" w:right="0" w:hanging="720"/>
        <w:jc w:val="both"/>
        <w:rPr/>
      </w:pPr>
      <w:r>
        <w:rPr>
          <w:color w:val="000000"/>
        </w:rPr>
        <w:t>    </w:t>
      </w:r>
      <w:r>
        <w:rPr>
          <w:rFonts w:ascii="Proxima Nova;sans-serif" w:hAnsi="Proxima Nova;sans-serif"/>
          <w:b w:val="false"/>
          <w:color w:val="000000"/>
          <w:sz w:val="22"/>
        </w:rPr>
        <w:t>In addition, if you are an officer or director of the Company, or an employee or designated third party</w:t>
      </w:r>
      <w:r>
        <w:rPr>
          <w:color w:val="000000"/>
        </w:rPr>
        <w:t xml:space="preserve"> </w:t>
      </w:r>
      <w:r>
        <w:rPr>
          <w:rFonts w:ascii="Proxima Nova;sans-serif" w:hAnsi="Proxima Nova;sans-serif"/>
          <w:b w:val="false"/>
          <w:color w:val="000000"/>
          <w:sz w:val="22"/>
        </w:rPr>
        <w:t xml:space="preserve">of the Company described on </w:t>
      </w:r>
      <w:r>
        <w:rPr>
          <w:rFonts w:ascii="Proxima Nova;sans-serif" w:hAnsi="Proxima Nova;sans-serif"/>
          <w:b/>
          <w:color w:val="000000"/>
          <w:sz w:val="22"/>
        </w:rPr>
        <w:t>Appendix A</w:t>
      </w:r>
      <w:r>
        <w:rPr>
          <w:color w:val="000000"/>
        </w:rPr>
        <w:t xml:space="preserve"> </w:t>
      </w:r>
      <w:r>
        <w:rPr>
          <w:rFonts w:ascii="Proxima Nova;sans-serif" w:hAnsi="Proxima Nova;sans-serif"/>
          <w:b w:val="false"/>
          <w:color w:val="000000"/>
          <w:sz w:val="22"/>
        </w:rPr>
        <w:t>(“</w:t>
      </w:r>
      <w:r>
        <w:rPr>
          <w:rFonts w:ascii="Proxima Nova;sans-serif" w:hAnsi="Proxima Nova;sans-serif"/>
          <w:b/>
          <w:i/>
          <w:color w:val="000000"/>
          <w:sz w:val="22"/>
        </w:rPr>
        <w:t>Specified Persons</w:t>
      </w:r>
      <w:r>
        <w:rPr>
          <w:color w:val="000000"/>
        </w:rPr>
        <w:t>”</w:t>
      </w:r>
      <w:r>
        <w:rPr>
          <w:rFonts w:ascii="Proxima Nova;sans-serif" w:hAnsi="Proxima Nova;sans-serif"/>
          <w:b w:val="false"/>
          <w:color w:val="000000"/>
          <w:sz w:val="22"/>
        </w:rPr>
        <w:t>), you and your Related Persons are subject to the quarterly trading blackout periods described below.</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Whose responsibility is it to comply with this Policy?</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transactions are subject to this Policy?</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Proxima Nova;sans-serif" w:hAnsi="Proxima Nova;sans-serif"/>
          <w:b/>
          <w:i/>
          <w:color w:val="000000"/>
          <w:sz w:val="22"/>
        </w:rPr>
        <w:t>trade</w:t>
      </w:r>
      <w:r>
        <w:rPr>
          <w:rFonts w:ascii="Proxima Nova;sans-serif" w:hAnsi="Proxima Nova;sans-serif"/>
          <w:b w:val="false"/>
          <w:color w:val="000000"/>
          <w:sz w:val="22"/>
        </w:rPr>
        <w:t>,” “</w:t>
      </w:r>
      <w:r>
        <w:rPr>
          <w:rFonts w:ascii="Proxima Nova;sans-serif" w:hAnsi="Proxima Nova;sans-serif"/>
          <w:b/>
          <w:i/>
          <w:color w:val="000000"/>
          <w:sz w:val="22"/>
        </w:rPr>
        <w:t>trading</w:t>
      </w:r>
      <w:r>
        <w:rPr>
          <w:rFonts w:ascii="Proxima Nova;sans-serif" w:hAnsi="Proxima Nova;sans-serif"/>
          <w:b w:val="false"/>
          <w:color w:val="000000"/>
          <w:sz w:val="22"/>
        </w:rPr>
        <w:t>,” and “</w:t>
      </w:r>
      <w:r>
        <w:rPr>
          <w:rFonts w:ascii="Proxima Nova;sans-serif" w:hAnsi="Proxima Nova;sans-serif"/>
          <w:b/>
          <w:i/>
          <w:color w:val="000000"/>
          <w:sz w:val="22"/>
        </w:rPr>
        <w:t>transactions</w:t>
      </w:r>
      <w:r>
        <w:rPr>
          <w:color w:val="000000"/>
        </w:rPr>
        <w:t xml:space="preserve">” </w:t>
      </w:r>
      <w:r>
        <w:rPr>
          <w:rFonts w:ascii="Proxima Nova;sans-serif" w:hAnsi="Proxima Nova;sans-serif"/>
          <w:b w:val="false"/>
          <w:color w:val="000000"/>
          <w:sz w:val="22"/>
        </w:rPr>
        <w:t xml:space="preserve">include not only purchases and sales of the Company’s Class A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w:t>
      </w:r>
    </w:p>
    <w:p>
      <w:pPr>
        <w:pStyle w:val="TextBody"/>
        <w:bidi w:val="0"/>
        <w:spacing w:before="0" w:after="24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092960"/>
                <wp:effectExtent l="0" t="0" r="0" b="0"/>
                <wp:wrapNone/>
                <wp:docPr id="129" name="Frame126"/>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2</w:t>
                            </w:r>
                            <w:r>
                              <w:br w:type="page"/>
                            </w:r>
                          </w:p>
                          <w:p>
                            <w:pPr>
                              <w:pStyle w:val="TextBody"/>
                              <w:bidi w:val="0"/>
                              <w:spacing w:before="0" w:after="0"/>
                              <w:jc w:val="both"/>
                              <w:rPr/>
                            </w:pPr>
                            <w:r>
                              <w:rPr/>
                              <w:drawing>
                                <wp:inline distT="0" distB="0" distL="0" distR="0">
                                  <wp:extent cx="2571750" cy="1819275"/>
                                  <wp:effectExtent l="0" t="0" r="0" b="0"/>
                                  <wp:docPr id="1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 descr=""/>
                                          <pic:cNvPicPr>
                                            <a:picLocks noChangeAspect="1" noChangeArrowheads="1"/>
                                          </pic:cNvPicPr>
                                        </pic:nvPicPr>
                                        <pic:blipFill>
                                          <a:blip r:embed="rId21"/>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2</w:t>
                      </w:r>
                    </w:p>
                    <w:p>
                      <w:pPr>
                        <w:pStyle w:val="TextBody"/>
                        <w:bidi w:val="0"/>
                        <w:spacing w:before="0" w:after="0"/>
                        <w:jc w:val="both"/>
                        <w:rPr/>
                      </w:pPr>
                      <w:r>
                        <w:rPr/>
                        <w:drawing>
                          <wp:inline distT="0" distB="0" distL="0" distR="0">
                            <wp:extent cx="2571750" cy="1819275"/>
                            <wp:effectExtent l="0" t="0" r="0" b="0"/>
                            <wp:docPr id="1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 descr=""/>
                                    <pic:cNvPicPr>
                                      <a:picLocks noChangeAspect="1" noChangeArrowheads="1"/>
                                    </pic:cNvPicPr>
                                  </pic:nvPicPr>
                                  <pic:blipFill>
                                    <a:blip r:embed="rId22"/>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Insider Trading and Material Nonpublic Information</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is insider trading?</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the Company has business relationships with and you trade in the Company’s or such other company’s securities, you have broken the law.</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Why is insider trading illegal?</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is material information?</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are examples of material information?</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financial results or forecasts;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acquisitions, dispositions or other strategic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092960"/>
                <wp:effectExtent l="0" t="0" r="0" b="0"/>
                <wp:wrapNone/>
                <wp:docPr id="132" name="Frame127"/>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3</w:t>
                            </w:r>
                            <w:r>
                              <w:br w:type="page"/>
                            </w:r>
                          </w:p>
                          <w:p>
                            <w:pPr>
                              <w:pStyle w:val="TextBody"/>
                              <w:bidi w:val="0"/>
                              <w:spacing w:before="0" w:after="0"/>
                              <w:jc w:val="both"/>
                              <w:rPr/>
                            </w:pPr>
                            <w:r>
                              <w:rPr/>
                              <w:drawing>
                                <wp:inline distT="0" distB="0" distL="0" distR="0">
                                  <wp:extent cx="2571750" cy="1819275"/>
                                  <wp:effectExtent l="0" t="0" r="0" b="0"/>
                                  <wp:docPr id="1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 descr=""/>
                                          <pic:cNvPicPr>
                                            <a:picLocks noChangeAspect="1" noChangeArrowheads="1"/>
                                          </pic:cNvPicPr>
                                        </pic:nvPicPr>
                                        <pic:blipFill>
                                          <a:blip r:embed="rId23"/>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3</w:t>
                      </w:r>
                    </w:p>
                    <w:p>
                      <w:pPr>
                        <w:pStyle w:val="TextBody"/>
                        <w:bidi w:val="0"/>
                        <w:spacing w:before="0" w:after="0"/>
                        <w:jc w:val="both"/>
                        <w:rPr/>
                      </w:pPr>
                      <w:r>
                        <w:rPr/>
                        <w:drawing>
                          <wp:inline distT="0" distB="0" distL="0" distR="0">
                            <wp:extent cx="2571750" cy="1819275"/>
                            <wp:effectExtent l="0" t="0" r="0" b="0"/>
                            <wp:docPr id="1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 descr=""/>
                                    <pic:cNvPicPr>
                                      <a:picLocks noChangeAspect="1" noChangeArrowheads="1"/>
                                    </pic:cNvPicPr>
                                  </pic:nvPicPr>
                                  <pic:blipFill>
                                    <a:blip r:embed="rId24"/>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events regarding the Company’s securities (e.g., repurchase plans, stock splits, public or private equity or debt offerings, or changes in the Company’s dividend policies or amounts);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major contracts or contract cancellations;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gain or loss of a significant customer, vendor, or partner;</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pricing changes;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entry into new product categories;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significant product problems or security incidents at manufacturing locations;</w:t>
      </w:r>
      <w:r>
        <w:rPr>
          <w:color w:val="000000"/>
        </w:rPr>
        <w:t xml:space="preserve">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executive leadership team</w:t>
      </w:r>
      <w:r>
        <w:rPr>
          <w:color w:val="000000"/>
        </w:rPr>
        <w:t xml:space="preserve"> </w:t>
      </w:r>
      <w:r>
        <w:rPr>
          <w:rFonts w:ascii="Proxima Nova;sans-serif" w:hAnsi="Proxima Nova;sans-serif"/>
          <w:b w:val="false"/>
          <w:color w:val="000000"/>
          <w:sz w:val="22"/>
        </w:rPr>
        <w:t>or control changes;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financial restatements or significant writeoffs;</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 xml:space="preserve">employee layoffs;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 xml:space="preserve">a disruption in the Company’s operations or breach or unauthorized access of its property or assets, including its facilities or information technology infrastructure;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 xml:space="preserve">proxy fights;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actual or threatened major litigation, U.S. Securities and Exchange Commission (“</w:t>
      </w:r>
      <w:r>
        <w:rPr>
          <w:rFonts w:ascii="Proxima Nova;sans-serif" w:hAnsi="Proxima Nova;sans-serif"/>
          <w:b/>
          <w:i/>
          <w:color w:val="000000"/>
          <w:sz w:val="22"/>
        </w:rPr>
        <w:t>SEC</w:t>
      </w:r>
      <w:r>
        <w:rPr>
          <w:color w:val="000000"/>
        </w:rPr>
        <w:t>”</w:t>
      </w:r>
      <w:r>
        <w:rPr>
          <w:rFonts w:ascii="Proxima Nova;sans-serif" w:hAnsi="Proxima Nova;sans-serif"/>
          <w:b w:val="false"/>
          <w:color w:val="000000"/>
          <w:sz w:val="22"/>
        </w:rPr>
        <w:t xml:space="preserve">) or other investigations, or a major development in or the resolution of any such litigation or investigation; </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impending bankruptcy;</w:t>
      </w:r>
    </w:p>
    <w:p>
      <w:pPr>
        <w:pStyle w:val="TextBody"/>
        <w:bidi w:val="0"/>
        <w:spacing w:lineRule="auto" w:line="288" w:before="0" w:after="120"/>
        <w:ind w:left="0" w:right="0" w:hanging="360"/>
        <w:jc w:val="both"/>
        <w:rPr/>
      </w:pPr>
      <w:r>
        <w:rPr>
          <w:color w:val="000000"/>
        </w:rPr>
        <w:t>●</w:t>
      </w:r>
      <w:r>
        <w:rPr>
          <w:rFonts w:ascii="Proxima Nova;sans-serif" w:hAnsi="Proxima Nova;sans-serif"/>
          <w:b w:val="false"/>
          <w:color w:val="000000"/>
          <w:sz w:val="22"/>
        </w:rPr>
        <w:t xml:space="preserve">communications with government agencies; and </w:t>
      </w:r>
    </w:p>
    <w:p>
      <w:pPr>
        <w:pStyle w:val="TextBody"/>
        <w:bidi w:val="0"/>
        <w:spacing w:lineRule="auto" w:line="288" w:before="0" w:after="240"/>
        <w:ind w:left="0" w:right="0" w:hanging="360"/>
        <w:jc w:val="both"/>
        <w:rPr/>
      </w:pPr>
      <w:r>
        <w:rPr>
          <w:color w:val="000000"/>
        </w:rPr>
        <w:t>●</w:t>
      </w:r>
      <w:r>
        <w:rPr>
          <w:rFonts w:ascii="Proxima Nova;sans-serif" w:hAnsi="Proxima Nova;sans-serif"/>
          <w:b w:val="false"/>
          <w:color w:val="000000"/>
          <w:sz w:val="22"/>
        </w:rPr>
        <w:t>notice of issuance of patents.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When is information considered public?</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(2)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092960"/>
                <wp:effectExtent l="0" t="0" r="0" b="0"/>
                <wp:wrapNone/>
                <wp:docPr id="135" name="Frame128"/>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4</w:t>
                            </w:r>
                            <w:r>
                              <w:br w:type="page"/>
                            </w:r>
                          </w:p>
                          <w:p>
                            <w:pPr>
                              <w:pStyle w:val="TextBody"/>
                              <w:bidi w:val="0"/>
                              <w:spacing w:before="0" w:after="0"/>
                              <w:jc w:val="both"/>
                              <w:rPr/>
                            </w:pPr>
                            <w:r>
                              <w:rPr/>
                              <w:drawing>
                                <wp:inline distT="0" distB="0" distL="0" distR="0">
                                  <wp:extent cx="2571750" cy="1819275"/>
                                  <wp:effectExtent l="0" t="0" r="0" b="0"/>
                                  <wp:docPr id="1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 descr=""/>
                                          <pic:cNvPicPr>
                                            <a:picLocks noChangeAspect="1" noChangeArrowheads="1"/>
                                          </pic:cNvPicPr>
                                        </pic:nvPicPr>
                                        <pic:blipFill>
                                          <a:blip r:embed="rId25"/>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4</w:t>
                      </w:r>
                    </w:p>
                    <w:p>
                      <w:pPr>
                        <w:pStyle w:val="TextBody"/>
                        <w:bidi w:val="0"/>
                        <w:spacing w:before="0" w:after="0"/>
                        <w:jc w:val="both"/>
                        <w:rPr/>
                      </w:pPr>
                      <w:r>
                        <w:rPr/>
                        <w:drawing>
                          <wp:inline distT="0" distB="0" distL="0" distR="0">
                            <wp:extent cx="2571750" cy="1819275"/>
                            <wp:effectExtent l="0" t="0" r="0" b="0"/>
                            <wp:docPr id="1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 descr=""/>
                                    <pic:cNvPicPr>
                                      <a:picLocks noChangeAspect="1" noChangeArrowheads="1"/>
                                    </pic:cNvPicPr>
                                  </pic:nvPicPr>
                                  <pic:blipFill>
                                    <a:blip r:embed="rId26"/>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Who can be guilty of insider trading?</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if I am aware of material nonpublic information when I trade, but the reason I trade is because of something else, like to pay medical bills?</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if I don’t buy or sell anything, but I tell someone else material nonpublic information and he or she buys or sells?</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92960"/>
                <wp:effectExtent l="0" t="0" r="0" b="0"/>
                <wp:wrapNone/>
                <wp:docPr id="138" name="Frame129"/>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5</w:t>
                            </w:r>
                            <w:r>
                              <w:br w:type="page"/>
                            </w:r>
                          </w:p>
                          <w:p>
                            <w:pPr>
                              <w:pStyle w:val="TextBody"/>
                              <w:bidi w:val="0"/>
                              <w:spacing w:before="0" w:after="0"/>
                              <w:jc w:val="both"/>
                              <w:rPr/>
                            </w:pPr>
                            <w:r>
                              <w:rPr/>
                              <w:drawing>
                                <wp:inline distT="0" distB="0" distL="0" distR="0">
                                  <wp:extent cx="2571750" cy="1819275"/>
                                  <wp:effectExtent l="0" t="0" r="0" b="0"/>
                                  <wp:docPr id="1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 descr=""/>
                                          <pic:cNvPicPr>
                                            <a:picLocks noChangeAspect="1" noChangeArrowheads="1"/>
                                          </pic:cNvPicPr>
                                        </pic:nvPicPr>
                                        <pic:blipFill>
                                          <a:blip r:embed="rId27"/>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5</w:t>
                      </w:r>
                    </w:p>
                    <w:p>
                      <w:pPr>
                        <w:pStyle w:val="TextBody"/>
                        <w:bidi w:val="0"/>
                        <w:spacing w:before="0" w:after="0"/>
                        <w:jc w:val="both"/>
                        <w:rPr/>
                      </w:pPr>
                      <w:r>
                        <w:rPr/>
                        <w:drawing>
                          <wp:inline distT="0" distB="0" distL="0" distR="0">
                            <wp:extent cx="2571750" cy="1819275"/>
                            <wp:effectExtent l="0" t="0" r="0" b="0"/>
                            <wp:docPr id="1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 descr=""/>
                                    <pic:cNvPicPr>
                                      <a:picLocks noChangeAspect="1" noChangeArrowheads="1"/>
                                    </pic:cNvPicPr>
                                  </pic:nvPicPr>
                                  <pic:blipFill>
                                    <a:blip r:embed="rId28"/>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Proxima Nova;sans-serif" w:hAnsi="Proxima Nova;sans-serif"/>
          <w:b w:val="false"/>
          <w:color w:val="000000"/>
          <w:sz w:val="22"/>
        </w:rPr>
      </w:pPr>
      <w:r>
        <w:rPr>
          <w:rFonts w:ascii="Proxima Nova;sans-serif" w:hAnsi="Proxima Nova;sans-serif"/>
          <w:b w:val="false"/>
          <w:color w:val="000000"/>
          <w:sz w:val="22"/>
        </w:rPr>
        <w:t>anonymous discussions on the internet about the Company or companies with which the Company does business.</w:t>
      </w:r>
    </w:p>
    <w:p>
      <w:pPr>
        <w:pStyle w:val="TextBody"/>
        <w:bidi w:val="0"/>
        <w:spacing w:lineRule="auto" w:line="288" w:before="0" w:after="240"/>
        <w:ind w:left="0" w:right="0" w:hanging="720"/>
        <w:jc w:val="both"/>
        <w:rPr/>
      </w:pPr>
      <w:r>
        <w:rPr>
          <w:color w:val="000000"/>
        </w:rPr>
        <w:t>    </w:t>
      </w:r>
      <w:r>
        <w:rPr>
          <w:rFonts w:ascii="Proxima Nova;sans-serif" w:hAnsi="Proxima Nova;sans-serif"/>
          <w:b w:val="false"/>
          <w:color w:val="000000"/>
          <w:sz w:val="22"/>
        </w:rPr>
        <w:t xml:space="preserve">You can be held liable for your own transactions, as well as the transactions by a tippee and even the transactions of a tippee’s tippee. </w:t>
      </w:r>
      <w:r>
        <w:rPr>
          <w:rFonts w:ascii="Proxima Nova;sans-serif" w:hAnsi="Proxima Nova;sans-serif"/>
          <w:b/>
          <w:i/>
          <w:color w:val="000000"/>
          <w:sz w:val="22"/>
        </w:rPr>
        <w:t>For these and other reasons, no employee, director or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 xml:space="preserve">Q:     What if I don’t tell someone inside information itself; I just tell him or her whether to buy or sell? </w:t>
      </w:r>
    </w:p>
    <w:p>
      <w:pPr>
        <w:pStyle w:val="TextBody"/>
        <w:bidi w:val="0"/>
        <w:spacing w:lineRule="auto" w:line="288" w:before="0" w:after="240"/>
        <w:ind w:left="0" w:right="0" w:hanging="720"/>
        <w:jc w:val="both"/>
        <w:rPr/>
      </w:pPr>
      <w:r>
        <w:rPr>
          <w:rFonts w:ascii="Proxima Nova;sans-serif" w:hAnsi="Proxima Nova;sans-serif"/>
          <w:b w:val="false"/>
          <w:color w:val="000000"/>
          <w:sz w:val="22"/>
        </w:rPr>
        <w:t>A:     That is still tipping, and you can still be responsible for insider trading. You may never recommend to another person that they buy, hold or sell the Company’s Class A common stock or Class B common stock (together, the “</w:t>
      </w:r>
      <w:r>
        <w:rPr>
          <w:rFonts w:ascii="Proxima Nova;sans-serif" w:hAnsi="Proxima Nova;sans-serif"/>
          <w:b/>
          <w:i/>
          <w:color w:val="000000"/>
          <w:sz w:val="22"/>
        </w:rPr>
        <w:t>common stock</w:t>
      </w:r>
      <w:r>
        <w:rPr>
          <w:color w:val="000000"/>
        </w:rPr>
        <w:t>”</w:t>
      </w:r>
      <w:r>
        <w:rPr>
          <w:rFonts w:ascii="Proxima Nova;sans-serif" w:hAnsi="Proxima Nova;sans-serif"/>
          <w:b w:val="false"/>
          <w:color w:val="000000"/>
          <w:sz w:val="22"/>
        </w:rPr>
        <w:t>) or any derivative security related to the Company’s common stock, since that could be a form of tipping.</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Does this Policy or the insider trading laws apply to me if I work outside the U.S.?</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Yes.</w:t>
      </w:r>
      <w:r>
        <w:rPr>
          <w:color w:val="000000"/>
        </w:rPr>
        <w:t xml:space="preserve"> </w:t>
      </w:r>
      <w:r>
        <w:rPr>
          <w:rFonts w:ascii="Proxima Nova;sans-serif" w:hAnsi="Proxima Nova;sans-serif"/>
          <w:b w:val="false"/>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Am I restricted from trading securities of any companies other than the Company, for example a customer or competitor of the Company?</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r>
        <w:rPr>
          <w:color w:val="000000"/>
        </w:rPr>
        <w:t xml:space="preserve">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So when can I buy or sell my Company securities?</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If you are aware of material nonpublic information, you may not buy or sell common stock of the Company until two (2) full trading days have elapsed since the information was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092960"/>
                <wp:effectExtent l="0" t="0" r="0" b="0"/>
                <wp:wrapNone/>
                <wp:docPr id="141" name="Frame130"/>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6</w:t>
                            </w:r>
                            <w:r>
                              <w:br w:type="page"/>
                            </w:r>
                          </w:p>
                          <w:p>
                            <w:pPr>
                              <w:pStyle w:val="TextBody"/>
                              <w:bidi w:val="0"/>
                              <w:spacing w:before="0" w:after="0"/>
                              <w:jc w:val="both"/>
                              <w:rPr/>
                            </w:pPr>
                            <w:r>
                              <w:rPr/>
                              <w:drawing>
                                <wp:inline distT="0" distB="0" distL="0" distR="0">
                                  <wp:extent cx="2571750" cy="1819275"/>
                                  <wp:effectExtent l="0" t="0" r="0" b="0"/>
                                  <wp:docPr id="1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 descr=""/>
                                          <pic:cNvPicPr>
                                            <a:picLocks noChangeAspect="1" noChangeArrowheads="1"/>
                                          </pic:cNvPicPr>
                                        </pic:nvPicPr>
                                        <pic:blipFill>
                                          <a:blip r:embed="rId29"/>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6</w:t>
                      </w:r>
                    </w:p>
                    <w:p>
                      <w:pPr>
                        <w:pStyle w:val="TextBody"/>
                        <w:bidi w:val="0"/>
                        <w:spacing w:before="0" w:after="0"/>
                        <w:jc w:val="both"/>
                        <w:rPr/>
                      </w:pPr>
                      <w:r>
                        <w:rPr/>
                        <w:drawing>
                          <wp:inline distT="0" distB="0" distL="0" distR="0">
                            <wp:extent cx="2571750" cy="1819275"/>
                            <wp:effectExtent l="0" t="0" r="0" b="0"/>
                            <wp:docPr id="1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 descr=""/>
                                    <pic:cNvPicPr>
                                      <a:picLocks noChangeAspect="1" noChangeArrowheads="1"/>
                                    </pic:cNvPicPr>
                                  </pic:nvPicPr>
                                  <pic:blipFill>
                                    <a:blip r:embed="rId30"/>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pPr>
      <w:r>
        <w:rPr>
          <w:rFonts w:ascii="Proxima Nova;sans-serif" w:hAnsi="Proxima Nova;sans-serif"/>
          <w:b w:val="false"/>
          <w:color w:val="000000"/>
          <w:sz w:val="22"/>
        </w:rPr>
        <w:t xml:space="preserve">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Proxima Nova;sans-serif" w:hAnsi="Proxima Nova;sans-serif"/>
          <w:b/>
          <w:color w:val="000000"/>
          <w:sz w:val="22"/>
        </w:rPr>
        <w:t>As discussed further below, even if you are not aware of any material nonpublic information, you may not trade common stock of the Company during any trading “blackout” period that applies to you</w:t>
      </w:r>
      <w:r>
        <w:rPr>
          <w:rFonts w:ascii="Proxima Nova;sans-serif" w:hAnsi="Proxima Nova;sans-serif"/>
          <w:b w:val="false"/>
          <w:color w:val="000000"/>
          <w:sz w:val="22"/>
        </w:rPr>
        <w:t xml:space="preserve">. This Policy describes the quarterly trading blackout period, and additional event-driven trading blackout periods (which may apply to you even if the quarterly trading blackout periods do not) may be announced by email. </w:t>
      </w:r>
    </w:p>
    <w:p>
      <w:pPr>
        <w:pStyle w:val="TextBody"/>
        <w:bidi w:val="0"/>
        <w:spacing w:before="0" w:after="240"/>
        <w:ind w:left="0" w:right="0" w:hanging="720"/>
        <w:jc w:val="both"/>
        <w:rPr/>
      </w:pPr>
      <w:r>
        <w:rPr/>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Blackout Periods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is a quarterly trading blackout period?</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w:t>
      </w:r>
      <w:r>
        <w:rPr>
          <w:rFonts w:ascii="Proxima Nova;sans-serif" w:hAnsi="Proxima Nova;sans-serif"/>
          <w:b w:val="false"/>
          <w:color w:val="000000"/>
          <w:sz w:val="22"/>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Persons, and their Related Persons will be able to trade in Company securities </w:t>
      </w:r>
      <w:r>
        <w:rPr>
          <w:rFonts w:ascii="Proxima Nova;sans-serif" w:hAnsi="Proxima Nova;sans-serif"/>
          <w:b w:val="false"/>
          <w:color w:val="000000"/>
          <w:sz w:val="22"/>
          <w:u w:val="single"/>
        </w:rPr>
        <w:t>only</w:t>
      </w:r>
      <w:r>
        <w:rPr>
          <w:color w:val="000000"/>
        </w:rPr>
        <w:t xml:space="preserve"> </w:t>
      </w:r>
      <w:r>
        <w:rPr>
          <w:rFonts w:ascii="Proxima Nova;sans-serif" w:hAnsi="Proxima Nova;sans-serif"/>
          <w:b w:val="false"/>
          <w:color w:val="000000"/>
          <w:sz w:val="22"/>
        </w:rPr>
        <w:t xml:space="preserve">during limited open trading window periods that generally will begin after two (2) full trading days have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are the Company’s quarterly trading blackout periods?</w:t>
      </w:r>
    </w:p>
    <w:p>
      <w:pPr>
        <w:pStyle w:val="TextBody"/>
        <w:bidi w:val="0"/>
        <w:spacing w:lineRule="auto" w:line="288" w:before="0" w:after="240"/>
        <w:ind w:left="0" w:right="0" w:hanging="720"/>
        <w:jc w:val="both"/>
        <w:rPr/>
      </w:pPr>
      <w:r>
        <w:rPr>
          <w:rFonts w:ascii="Proxima Nova;sans-serif" w:hAnsi="Proxima Nova;sans-serif"/>
          <w:b w:val="false"/>
          <w:color w:val="000000"/>
          <w:sz w:val="22"/>
        </w:rPr>
        <w:t>A:    Each “</w:t>
      </w:r>
      <w:r>
        <w:rPr>
          <w:rFonts w:ascii="Proxima Nova;sans-serif" w:hAnsi="Proxima Nova;sans-serif"/>
          <w:b/>
          <w:i/>
          <w:color w:val="000000"/>
          <w:sz w:val="22"/>
        </w:rPr>
        <w:t>quarterly trading blackout period</w:t>
      </w:r>
      <w:r>
        <w:rPr>
          <w:color w:val="000000"/>
        </w:rPr>
        <w:t xml:space="preserve">” </w:t>
      </w:r>
      <w:r>
        <w:rPr>
          <w:rFonts w:ascii="Proxima Nova;sans-serif" w:hAnsi="Proxima Nova;sans-serif"/>
          <w:b w:val="false"/>
          <w:color w:val="000000"/>
          <w:sz w:val="22"/>
        </w:rPr>
        <w:t xml:space="preserve">will generally begin at the end of the 15th day of the third month of each fiscal quarter and end after two (2) full trading days have elapsed since the public dissemination of the Company’s financial results for that quarter.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Can the Company’s quarterly trading blackout periods change?</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The quarterly trading blackout period may commence early or may be extended if, in the judgment of one of the Co-Chief Executive Officers, the Chief Financial Officer or the VP of Legal, there exists undisclosed information that would make trades by Company officers, directors, Specified Persons or their Related Persons inappropriate. It is important to note that the fact that the quarterly trading blackout period has commenced early or has been extended should be considered material nonpublic information that should not be communicated to any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092960"/>
                <wp:effectExtent l="0" t="0" r="0" b="0"/>
                <wp:wrapNone/>
                <wp:docPr id="144" name="Frame131"/>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7</w:t>
                            </w:r>
                            <w:r>
                              <w:br w:type="page"/>
                            </w:r>
                          </w:p>
                          <w:p>
                            <w:pPr>
                              <w:pStyle w:val="TextBody"/>
                              <w:bidi w:val="0"/>
                              <w:spacing w:before="0" w:after="0"/>
                              <w:jc w:val="both"/>
                              <w:rPr/>
                            </w:pPr>
                            <w:r>
                              <w:rPr/>
                              <w:drawing>
                                <wp:inline distT="0" distB="0" distL="0" distR="0">
                                  <wp:extent cx="2571750" cy="1819275"/>
                                  <wp:effectExtent l="0" t="0" r="0" b="0"/>
                                  <wp:docPr id="1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 descr=""/>
                                          <pic:cNvPicPr>
                                            <a:picLocks noChangeAspect="1" noChangeArrowheads="1"/>
                                          </pic:cNvPicPr>
                                        </pic:nvPicPr>
                                        <pic:blipFill>
                                          <a:blip r:embed="rId31"/>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7</w:t>
                      </w:r>
                    </w:p>
                    <w:p>
                      <w:pPr>
                        <w:pStyle w:val="TextBody"/>
                        <w:bidi w:val="0"/>
                        <w:spacing w:before="0" w:after="0"/>
                        <w:jc w:val="both"/>
                        <w:rPr/>
                      </w:pPr>
                      <w:r>
                        <w:rPr/>
                        <w:drawing>
                          <wp:inline distT="0" distB="0" distL="0" distR="0">
                            <wp:extent cx="2571750" cy="1819275"/>
                            <wp:effectExtent l="0" t="0" r="0" b="0"/>
                            <wp:docPr id="1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 descr=""/>
                                    <pic:cNvPicPr>
                                      <a:picLocks noChangeAspect="1" noChangeArrowheads="1"/>
                                    </pic:cNvPicPr>
                                  </pic:nvPicPr>
                                  <pic:blipFill>
                                    <a:blip r:embed="rId32"/>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Does the Company have blackout periods other than quarterly trading blackout periods?</w:t>
      </w:r>
    </w:p>
    <w:p>
      <w:pPr>
        <w:pStyle w:val="TextBody"/>
        <w:bidi w:val="0"/>
        <w:spacing w:lineRule="auto" w:line="288" w:before="0" w:after="240"/>
        <w:ind w:left="0" w:right="0" w:hanging="720"/>
        <w:jc w:val="both"/>
        <w:rPr/>
      </w:pPr>
      <w:r>
        <w:rPr>
          <w:rFonts w:ascii="Proxima Nova;sans-serif" w:hAnsi="Proxima Nova;sans-serif"/>
          <w:b w:val="false"/>
          <w:color w:val="000000"/>
          <w:sz w:val="22"/>
        </w:rPr>
        <w:t>A:     Yes. From time to time, an event may occur that is material to the Company and is known by only a few officers, directors and/or employees. So long as the event remains material and nonpublic, the persons designated by one of the Co-Chief Executive Officers, the Chief Financial Officer or the VP of Legal</w:t>
      </w:r>
      <w:r>
        <w:rPr>
          <w:color w:val="000000"/>
        </w:rPr>
        <w:t xml:space="preserve"> </w:t>
      </w:r>
      <w:r>
        <w:rPr>
          <w:rFonts w:ascii="Proxima Nova;sans-serif" w:hAnsi="Proxima Nova;sans-serif"/>
          <w:b w:val="false"/>
          <w:color w:val="000000"/>
          <w:sz w:val="22"/>
        </w:rPr>
        <w:t xml:space="preserve">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If I am subject to a blackout period and I have an open order to buy or sell Company securities on the date a blackout period commences, can I leave it to my broker to cancel the open order and avoid executing the trade?</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Am I subject to trading blackout periods if I am no longer an employee, director or consultant of the Company?</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Are there any exceptions to this policy?</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There are no exceptions to this Policy, except as specifically noted below.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Can I exercise options granted to me by the Company, or participate in a Company employee stock purchase plan, during a trading blackout period or when I possess material nonpublic information?</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092960"/>
                <wp:effectExtent l="0" t="0" r="0" b="0"/>
                <wp:wrapNone/>
                <wp:docPr id="147" name="Frame132"/>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8</w:t>
                            </w:r>
                            <w:r>
                              <w:br w:type="page"/>
                            </w:r>
                          </w:p>
                          <w:p>
                            <w:pPr>
                              <w:pStyle w:val="TextBody"/>
                              <w:bidi w:val="0"/>
                              <w:spacing w:before="0" w:after="0"/>
                              <w:jc w:val="both"/>
                              <w:rPr/>
                            </w:pPr>
                            <w:r>
                              <w:rPr/>
                              <w:drawing>
                                <wp:inline distT="0" distB="0" distL="0" distR="0">
                                  <wp:extent cx="2571750" cy="1819275"/>
                                  <wp:effectExtent l="0" t="0" r="0" b="0"/>
                                  <wp:docPr id="1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 descr=""/>
                                          <pic:cNvPicPr>
                                            <a:picLocks noChangeAspect="1" noChangeArrowheads="1"/>
                                          </pic:cNvPicPr>
                                        </pic:nvPicPr>
                                        <pic:blipFill>
                                          <a:blip r:embed="rId33"/>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8</w:t>
                      </w:r>
                    </w:p>
                    <w:p>
                      <w:pPr>
                        <w:pStyle w:val="TextBody"/>
                        <w:bidi w:val="0"/>
                        <w:spacing w:before="0" w:after="0"/>
                        <w:jc w:val="both"/>
                        <w:rPr/>
                      </w:pPr>
                      <w:r>
                        <w:rPr/>
                        <w:drawing>
                          <wp:inline distT="0" distB="0" distL="0" distR="0">
                            <wp:extent cx="2571750" cy="1819275"/>
                            <wp:effectExtent l="0" t="0" r="0" b="0"/>
                            <wp:docPr id="1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 descr=""/>
                                    <pic:cNvPicPr>
                                      <a:picLocks noChangeAspect="1" noChangeArrowheads="1"/>
                                    </pic:cNvPicPr>
                                  </pic:nvPicPr>
                                  <pic:blipFill>
                                    <a:blip r:embed="rId34"/>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pPr>
      <w:r>
        <w:rPr>
          <w:rFonts w:ascii="Proxima Nova;sans-serif" w:hAnsi="Proxima Nova;sans-serif"/>
          <w:b w:val="false"/>
          <w:color w:val="000000"/>
          <w:sz w:val="22"/>
        </w:rPr>
        <w:t xml:space="preserve">material nonpublic information. To be clear, you may </w:t>
      </w:r>
      <w:r>
        <w:rPr>
          <w:rFonts w:ascii="Proxima Nova;sans-serif" w:hAnsi="Proxima Nova;sans-serif"/>
          <w:b w:val="false"/>
          <w:color w:val="000000"/>
          <w:sz w:val="22"/>
          <w:u w:val="single"/>
        </w:rPr>
        <w:t>not</w:t>
      </w:r>
      <w:r>
        <w:rPr>
          <w:color w:val="000000"/>
        </w:rPr>
        <w:t xml:space="preserve"> </w:t>
      </w:r>
      <w:r>
        <w:rPr>
          <w:rFonts w:ascii="Proxima Nova;sans-serif" w:hAnsi="Proxima Nova;sans-serif"/>
          <w:b w:val="false"/>
          <w:color w:val="000000"/>
          <w:sz w:val="22"/>
        </w:rPr>
        <w:t>conduct a broker-assisted cashless exercise (because these cashless exercise transactions include a market sale) during a trading blackout period or any time that you are aware of material nonpublic information.</w:t>
      </w:r>
    </w:p>
    <w:p>
      <w:pPr>
        <w:pStyle w:val="TextBody"/>
        <w:bidi w:val="0"/>
        <w:spacing w:lineRule="auto" w:line="288" w:before="0" w:after="240"/>
        <w:ind w:left="0" w:right="0" w:hanging="720"/>
        <w:jc w:val="both"/>
        <w:rPr/>
      </w:pPr>
      <w:r>
        <w:rPr>
          <w:rFonts w:ascii="Proxima Nova;sans-serif" w:hAnsi="Proxima Nova;sans-serif"/>
          <w:b/>
          <w:color w:val="000000"/>
          <w:sz w:val="22"/>
        </w:rPr>
        <w:t>Q:    What tax withholding transactions are not restricted by this Policy</w:t>
      </w:r>
      <w:r>
        <w:rPr>
          <w:rFonts w:ascii="Proxima Nova;sans-serif" w:hAnsi="Proxima Nova;sans-serif"/>
          <w:b w:val="false"/>
          <w:color w:val="000000"/>
          <w:sz w:val="22"/>
        </w:rPr>
        <w:t xml:space="preserve">? </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 xml:space="preserve">Q:     Are mutual funds holding Company common stock subject to the trading blackout periods? </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No. You may trade in mutual funds holding Company stock at any time.</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are the rules that apply to 10b5-1 Automatic Trading Programs?</w:t>
      </w:r>
    </w:p>
    <w:p>
      <w:pPr>
        <w:pStyle w:val="TextBody"/>
        <w:bidi w:val="0"/>
        <w:spacing w:lineRule="auto" w:line="288" w:before="0" w:after="240"/>
        <w:ind w:left="0" w:right="0" w:hanging="720"/>
        <w:jc w:val="both"/>
        <w:rPr/>
      </w:pPr>
      <w:r>
        <w:rPr>
          <w:rFonts w:ascii="Proxima Nova;sans-serif" w:hAnsi="Proxima Nova;sans-serif"/>
          <w:b w:val="false"/>
          <w:color w:val="000000"/>
          <w:sz w:val="22"/>
        </w:rPr>
        <w:t>A:    Under Rule 10b5-1 of the Securities Exchange Act of 1934, as amended (the “</w:t>
      </w:r>
      <w:r>
        <w:rPr>
          <w:rFonts w:ascii="Proxima Nova;sans-serif" w:hAnsi="Proxima Nova;sans-serif"/>
          <w:b/>
          <w:i/>
          <w:color w:val="000000"/>
          <w:sz w:val="22"/>
        </w:rPr>
        <w:t>Exchange Act</w:t>
      </w:r>
      <w:r>
        <w:rPr>
          <w:color w:val="000000"/>
        </w:rPr>
        <w:t>”</w:t>
      </w:r>
      <w:r>
        <w:rPr>
          <w:rFonts w:ascii="Proxima Nova;sans-serif" w:hAnsi="Proxima Nova;sans-serif"/>
          <w:b w:val="false"/>
          <w:color w:val="000000"/>
          <w:sz w:val="22"/>
        </w:rPr>
        <w:t>), any person may establish a trading plan under which a broker is instructed to buy and sell Company securities based on pre-determined criteria (a “</w:t>
      </w:r>
      <w:r>
        <w:rPr>
          <w:rFonts w:ascii="Proxima Nova;sans-serif" w:hAnsi="Proxima Nova;sans-serif"/>
          <w:b/>
          <w:i/>
          <w:color w:val="000000"/>
          <w:sz w:val="22"/>
        </w:rPr>
        <w:t>Trading Plan</w:t>
      </w:r>
      <w:r>
        <w:rPr>
          <w:color w:val="000000"/>
        </w:rPr>
        <w:t>”</w:t>
      </w:r>
      <w:r>
        <w:rPr>
          <w:rFonts w:ascii="Proxima Nova;sans-serif" w:hAnsi="Proxima Nova;sans-serif"/>
          <w:b w:val="false"/>
          <w:color w:val="000000"/>
          <w:sz w:val="22"/>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you were not otherwise subject to a trading blackout period. Moreover, all Trading Plans to be adopted by officers, directors, Specified Persons and their Related Persons must be reviewed and approved by the Company in accordance with the Company’s Section 16 Compliance Program before being established to confirm that the Trading Plan complies with all pertinent company policies and applicable securities laws. See “Pre-Clearance of Transactions in Company Stock” below.</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Can I gift stock while I possess material nonpublic information or during a trading blackout period?</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 You may only make </w:t>
      </w:r>
      <w:r>
        <w:rPr>
          <w:rFonts w:ascii="Proxima Nova;sans-serif" w:hAnsi="Proxima Nova;sans-serif"/>
          <w:b w:val="false"/>
          <w:i/>
          <w:color w:val="000000"/>
          <w:sz w:val="22"/>
        </w:rPr>
        <w:t>bona fide</w:t>
      </w:r>
      <w:r>
        <w:rPr>
          <w:color w:val="000000"/>
        </w:rPr>
        <w:t xml:space="preserve"> </w:t>
      </w:r>
      <w:r>
        <w:rPr>
          <w:rFonts w:ascii="Proxima Nova;sans-serif" w:hAnsi="Proxima Nova;sans-serif"/>
          <w:b w:val="false"/>
          <w:color w:val="000000"/>
          <w:sz w:val="22"/>
        </w:rPr>
        <w:t xml:space="preserve">gifts of Company stock when you are aware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092960"/>
                <wp:effectExtent l="0" t="0" r="0" b="0"/>
                <wp:wrapNone/>
                <wp:docPr id="150" name="Frame133"/>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9</w:t>
                            </w:r>
                            <w:r>
                              <w:br w:type="page"/>
                            </w:r>
                          </w:p>
                          <w:p>
                            <w:pPr>
                              <w:pStyle w:val="TextBody"/>
                              <w:bidi w:val="0"/>
                              <w:spacing w:before="0" w:after="0"/>
                              <w:jc w:val="both"/>
                              <w:rPr/>
                            </w:pPr>
                            <w:r>
                              <w:rPr/>
                              <w:drawing>
                                <wp:inline distT="0" distB="0" distL="0" distR="0">
                                  <wp:extent cx="2571750" cy="1819275"/>
                                  <wp:effectExtent l="0" t="0" r="0" b="0"/>
                                  <wp:docPr id="15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 descr=""/>
                                          <pic:cNvPicPr>
                                            <a:picLocks noChangeAspect="1" noChangeArrowheads="1"/>
                                          </pic:cNvPicPr>
                                        </pic:nvPicPr>
                                        <pic:blipFill>
                                          <a:blip r:embed="rId35"/>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9</w:t>
                      </w:r>
                    </w:p>
                    <w:p>
                      <w:pPr>
                        <w:pStyle w:val="TextBody"/>
                        <w:bidi w:val="0"/>
                        <w:spacing w:before="0" w:after="0"/>
                        <w:jc w:val="both"/>
                        <w:rPr/>
                      </w:pPr>
                      <w:r>
                        <w:rPr/>
                        <w:drawing>
                          <wp:inline distT="0" distB="0" distL="0" distR="0">
                            <wp:extent cx="2571750" cy="1819275"/>
                            <wp:effectExtent l="0" t="0" r="0" b="0"/>
                            <wp:docPr id="1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 descr=""/>
                                    <pic:cNvPicPr>
                                      <a:picLocks noChangeAspect="1" noChangeArrowheads="1"/>
                                    </pic:cNvPicPr>
                                  </pic:nvPicPr>
                                  <pic:blipFill>
                                    <a:blip r:embed="rId36"/>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pPr>
      <w:r>
        <w:rPr>
          <w:rFonts w:ascii="Proxima Nova;sans-serif" w:hAnsi="Proxima Nova;sans-serif"/>
          <w:b w:val="false"/>
          <w:color w:val="000000"/>
          <w:sz w:val="22"/>
        </w:rPr>
        <w:t>material nonpublic information or during a trading blackout period applicable to you if the gift has been pre-cleared by the Compliance Coordinator identified in the Company’s Section 16 Compliance Program (the “</w:t>
      </w:r>
      <w:r>
        <w:rPr>
          <w:rFonts w:ascii="Proxima Nova;sans-serif" w:hAnsi="Proxima Nova;sans-serif"/>
          <w:b/>
          <w:i/>
          <w:color w:val="000000"/>
          <w:sz w:val="22"/>
        </w:rPr>
        <w:t>Compliance Coordinator</w:t>
      </w:r>
      <w:r>
        <w:rPr>
          <w:color w:val="000000"/>
        </w:rPr>
        <w:t>”</w:t>
      </w:r>
      <w:r>
        <w:rPr>
          <w:rFonts w:ascii="Proxima Nova;sans-serif" w:hAnsi="Proxima Nova;sans-serif"/>
          <w:b w:val="false"/>
          <w:color w:val="000000"/>
          <w:sz w:val="22"/>
        </w:rPr>
        <w:t>). Pre-clearance must be obtained at least two (2) business days in advance of the proposed gift, and pre-cleared gifts not completed within five (5) business days will require new pre-clearance. The Company may choose to shorten this period.</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Are purchases of Company stock in a 401(k) plan allowed by this Policy?</w:t>
      </w:r>
    </w:p>
    <w:p>
      <w:pPr>
        <w:pStyle w:val="TextBody"/>
        <w:bidi w:val="0"/>
        <w:spacing w:lineRule="auto" w:line="288" w:before="0" w:after="240"/>
        <w:ind w:left="0" w:right="0" w:hanging="720"/>
        <w:jc w:val="both"/>
        <w:rPr/>
      </w:pPr>
      <w:r>
        <w:rPr>
          <w:rFonts w:ascii="Proxima Nova;sans-serif" w:hAnsi="Proxima Nova;sans-serif"/>
          <w:b/>
          <w:color w:val="000000"/>
          <w:sz w:val="22"/>
        </w:rPr>
        <w:t>A</w:t>
      </w:r>
      <w:r>
        <w:rPr>
          <w:rFonts w:ascii="Proxima Nova;sans-serif" w:hAnsi="Proxima Nova;sans-serif"/>
          <w:b w:val="false"/>
          <w:color w:val="000000"/>
          <w:sz w:val="22"/>
        </w:rPr>
        <w:t xml:space="preserve">: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Margin Accounts, Pledging Shares, Hedging and Other Speculation in Company Stock</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Can I purchase Company securities on margin or hold them in a margin account?</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Can I pledge my Company shares as collateral for a loan?</w:t>
      </w:r>
    </w:p>
    <w:p>
      <w:pPr>
        <w:pStyle w:val="TextBody"/>
        <w:bidi w:val="0"/>
        <w:spacing w:lineRule="auto" w:line="288" w:before="0" w:after="240"/>
        <w:ind w:left="0" w:right="0" w:hanging="720"/>
        <w:jc w:val="both"/>
        <w:rPr/>
      </w:pPr>
      <w:r>
        <w:rPr>
          <w:rFonts w:ascii="Proxima Nova;sans-serif" w:hAnsi="Proxima Nova;sans-serif"/>
          <w:b w:val="false"/>
          <w:color w:val="000000"/>
          <w:sz w:val="22"/>
        </w:rPr>
        <w:t>A:     Generally, no. Pledging your shares as collateral for a loan could cause the pledgee to transfer your shares during a trading blackout period or when you are otherwise aware of material nonpublic information. As a result, you typically may not pledge your shares as collateral for a loan. If you would like to request an exception in accordance with our Pledging Policy, please email the Compliance Coordinator at </w:t>
      </w:r>
      <w:r>
        <w:rPr>
          <w:rFonts w:ascii="Proxima Nova;sans-serif" w:hAnsi="Proxima Nova;sans-serif"/>
          <w:b w:val="false"/>
          <w:color w:val="0000FF"/>
          <w:sz w:val="22"/>
          <w:u w:val="single"/>
        </w:rPr>
        <w:t>compliance@allbirds.com</w:t>
      </w:r>
      <w:r>
        <w:rPr>
          <w:rFonts w:ascii="Proxima Nova;sans-serif" w:hAnsi="Proxima Nova;sans-serif"/>
          <w:b w:val="false"/>
          <w:color w:val="000000"/>
          <w:sz w:val="22"/>
        </w:rPr>
        <w:t>.</w:t>
      </w:r>
      <w:r>
        <w:rPr>
          <w:color w:val="000000"/>
        </w:rPr>
        <w:t> </w:t>
      </w:r>
    </w:p>
    <w:p>
      <w:pPr>
        <w:pStyle w:val="TextBody"/>
        <w:bidi w:val="0"/>
        <w:spacing w:lineRule="auto" w:line="288" w:before="0" w:after="240"/>
        <w:jc w:val="both"/>
        <w:rPr>
          <w:rFonts w:ascii="Proxima Nova;sans-serif" w:hAnsi="Proxima Nova;sans-serif"/>
          <w:b/>
          <w:color w:val="000000"/>
          <w:sz w:val="22"/>
        </w:rPr>
      </w:pPr>
      <w:r>
        <w:rPr>
          <w:rFonts w:ascii="Proxima Nova;sans-serif" w:hAnsi="Proxima Nova;sans-serif"/>
          <w:b/>
          <w:color w:val="000000"/>
          <w:sz w:val="22"/>
        </w:rPr>
        <w:t>Q:     What is problematic about margin accounts and pledged securities?</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092960"/>
                <wp:effectExtent l="0" t="0" r="0" b="0"/>
                <wp:wrapNone/>
                <wp:docPr id="153" name="Frame134"/>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10</w:t>
                            </w:r>
                            <w:r>
                              <w:br w:type="page"/>
                            </w:r>
                          </w:p>
                          <w:p>
                            <w:pPr>
                              <w:pStyle w:val="TextBody"/>
                              <w:bidi w:val="0"/>
                              <w:spacing w:before="0" w:after="0"/>
                              <w:jc w:val="both"/>
                              <w:rPr/>
                            </w:pPr>
                            <w:r>
                              <w:rPr/>
                              <w:drawing>
                                <wp:inline distT="0" distB="0" distL="0" distR="0">
                                  <wp:extent cx="2571750" cy="1819275"/>
                                  <wp:effectExtent l="0" t="0" r="0" b="0"/>
                                  <wp:docPr id="1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 descr=""/>
                                          <pic:cNvPicPr>
                                            <a:picLocks noChangeAspect="1" noChangeArrowheads="1"/>
                                          </pic:cNvPicPr>
                                        </pic:nvPicPr>
                                        <pic:blipFill>
                                          <a:blip r:embed="rId37"/>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10</w:t>
                      </w:r>
                    </w:p>
                    <w:p>
                      <w:pPr>
                        <w:pStyle w:val="TextBody"/>
                        <w:bidi w:val="0"/>
                        <w:spacing w:before="0" w:after="0"/>
                        <w:jc w:val="both"/>
                        <w:rPr/>
                      </w:pPr>
                      <w:r>
                        <w:rPr/>
                        <w:drawing>
                          <wp:inline distT="0" distB="0" distL="0" distR="0">
                            <wp:extent cx="2571750" cy="1819275"/>
                            <wp:effectExtent l="0" t="0" r="0" b="0"/>
                            <wp:docPr id="15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 descr=""/>
                                    <pic:cNvPicPr>
                                      <a:picLocks noChangeAspect="1" noChangeArrowheads="1"/>
                                    </pic:cNvPicPr>
                                  </pic:nvPicPr>
                                  <pic:blipFill>
                                    <a:blip r:embed="rId38"/>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Proxima Nova;sans-serif" w:hAnsi="Proxima Nova;sans-serif"/>
          <w:b w:val="false"/>
          <w:color w:val="000000"/>
          <w:sz w:val="22"/>
        </w:rPr>
      </w:pPr>
      <w:r>
        <w:rPr>
          <w:rFonts w:ascii="Proxima Nova;sans-serif" w:hAnsi="Proxima Nova;sans-serif"/>
          <w:b w:val="false"/>
          <w:color w:val="000000"/>
          <w:sz w:val="22"/>
        </w:rPr>
        <w:t xml:space="preserve">prohibited from holding Company securities in a margin account or otherwise pledging Company securities as collateral for a loan.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 xml:space="preserve">Q:     Can I hedge my ownership position in the Company? </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No. Hedging or monetization transactions, including through the use of financial instruments such as prepaid variable forwards, equity swaps, collars and exchange funds are prohibited by this Policy.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Why are hedging transactions prohibited?</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 </w:t>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Am I allowed to trade derivative securities of Company common stock?</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No. You may not trade in derivative securities related to Company common stock, which include publicly traded call and put options. In addition, you may not engage in short selling of Company common stock at any time.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are derivative securities?</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is short selling?</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092960"/>
                <wp:effectExtent l="0" t="0" r="0" b="0"/>
                <wp:wrapNone/>
                <wp:docPr id="156" name="Frame135"/>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11</w:t>
                            </w:r>
                            <w:r>
                              <w:br w:type="page"/>
                            </w:r>
                          </w:p>
                          <w:p>
                            <w:pPr>
                              <w:pStyle w:val="TextBody"/>
                              <w:bidi w:val="0"/>
                              <w:spacing w:before="0" w:after="0"/>
                              <w:jc w:val="both"/>
                              <w:rPr/>
                            </w:pPr>
                            <w:r>
                              <w:rPr/>
                              <w:drawing>
                                <wp:inline distT="0" distB="0" distL="0" distR="0">
                                  <wp:extent cx="2571750" cy="1819275"/>
                                  <wp:effectExtent l="0" t="0" r="0" b="0"/>
                                  <wp:docPr id="1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 descr=""/>
                                          <pic:cNvPicPr>
                                            <a:picLocks noChangeAspect="1" noChangeArrowheads="1"/>
                                          </pic:cNvPicPr>
                                        </pic:nvPicPr>
                                        <pic:blipFill>
                                          <a:blip r:embed="rId39"/>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11</w:t>
                      </w:r>
                    </w:p>
                    <w:p>
                      <w:pPr>
                        <w:pStyle w:val="TextBody"/>
                        <w:bidi w:val="0"/>
                        <w:spacing w:before="0" w:after="0"/>
                        <w:jc w:val="both"/>
                        <w:rPr/>
                      </w:pPr>
                      <w:r>
                        <w:rPr/>
                        <w:drawing>
                          <wp:inline distT="0" distB="0" distL="0" distR="0">
                            <wp:extent cx="2571750" cy="1819275"/>
                            <wp:effectExtent l="0" t="0" r="0" b="0"/>
                            <wp:docPr id="15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 descr=""/>
                                    <pic:cNvPicPr>
                                      <a:picLocks noChangeAspect="1" noChangeArrowheads="1"/>
                                    </pic:cNvPicPr>
                                  </pic:nvPicPr>
                                  <pic:blipFill>
                                    <a:blip r:embed="rId40"/>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Why does the Company prohibit trading in derivative securities and short selling?</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Many companies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if I purchased publicly traded options or other derivative securities before I became subject to this Policy?</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lineRule="auto" w:line="288" w:before="0" w:after="240"/>
        <w:ind w:left="0" w:right="0" w:hanging="720"/>
        <w:jc w:val="both"/>
        <w:rPr/>
      </w:pPr>
      <w:r>
        <w:rPr>
          <w:rFonts w:ascii="Proxima Nova;sans-serif" w:hAnsi="Proxima Nova;sans-serif"/>
          <w:b/>
          <w:color w:val="000000"/>
          <w:sz w:val="22"/>
        </w:rPr>
        <w:t>Q:     Does this Policy apply to transactions under the Company’s employee stock purchase plan (“</w:t>
      </w:r>
      <w:r>
        <w:rPr>
          <w:rFonts w:ascii="Proxima Nova;sans-serif" w:hAnsi="Proxima Nova;sans-serif"/>
          <w:b/>
          <w:i/>
          <w:color w:val="000000"/>
          <w:sz w:val="22"/>
        </w:rPr>
        <w:t>ESPP</w:t>
      </w:r>
      <w:r>
        <w:rPr>
          <w:color w:val="000000"/>
        </w:rPr>
        <w:t>”</w:t>
      </w:r>
      <w:r>
        <w:rPr>
          <w:rFonts w:ascii="Proxima Nova;sans-serif" w:hAnsi="Proxima Nova;sans-serif"/>
          <w:b/>
          <w:color w:val="000000"/>
          <w:sz w:val="22"/>
        </w:rPr>
        <w:t>)?</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Yes, this Policy applies to certain transactions by a Covered Person in connection with the Company’s ESPP. A Covered Person, if eligible to participate in the ESPP, may enroll in the ESPP only if there is no blackout period in effect. If a Covered Person is enrolled in the ESPP, the Covered Person is permitted to change their contribution rate or withdraw from the ESPP only if there is no blackout period in effect. In addition, sales of all securities purchased through the ESPP are subject to the terms of this Policy. </w:t>
      </w:r>
    </w:p>
    <w:p>
      <w:pPr>
        <w:pStyle w:val="TextBody"/>
        <w:bidi w:val="0"/>
        <w:spacing w:lineRule="auto" w:line="288" w:before="0" w:after="240"/>
        <w:ind w:left="0" w:right="0" w:hanging="720"/>
        <w:jc w:val="both"/>
        <w:rPr/>
      </w:pPr>
      <w:r>
        <w:rPr>
          <w:rFonts w:ascii="Proxima Nova;sans-serif" w:hAnsi="Proxima Nova;sans-serif"/>
          <w:b/>
          <w:color w:val="000000"/>
          <w:sz w:val="22"/>
        </w:rPr>
        <w:t>Q:     What are the concerns about standing and limit orders</w:t>
      </w:r>
      <w:r>
        <w:rPr>
          <w:rFonts w:ascii="Proxima Nova;sans-serif" w:hAnsi="Proxima Nova;sans-serif"/>
          <w:b w:val="false"/>
          <w:color w:val="000000"/>
          <w:sz w:val="22"/>
        </w:rPr>
        <w:t xml:space="preserve">? </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 xml:space="preserve">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Pre-Clearance of Transactions in Company Stock</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092960"/>
                <wp:effectExtent l="0" t="0" r="0" b="0"/>
                <wp:wrapNone/>
                <wp:docPr id="159" name="Frame136"/>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12</w:t>
                            </w:r>
                            <w:r>
                              <w:br w:type="page"/>
                            </w:r>
                          </w:p>
                          <w:p>
                            <w:pPr>
                              <w:pStyle w:val="TextBody"/>
                              <w:bidi w:val="0"/>
                              <w:spacing w:before="0" w:after="0"/>
                              <w:jc w:val="both"/>
                              <w:rPr/>
                            </w:pPr>
                            <w:r>
                              <w:rPr/>
                              <w:drawing>
                                <wp:inline distT="0" distB="0" distL="0" distR="0">
                                  <wp:extent cx="2571750" cy="1819275"/>
                                  <wp:effectExtent l="0" t="0" r="0" b="0"/>
                                  <wp:docPr id="1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 descr=""/>
                                          <pic:cNvPicPr>
                                            <a:picLocks noChangeAspect="1" noChangeArrowheads="1"/>
                                          </pic:cNvPicPr>
                                        </pic:nvPicPr>
                                        <pic:blipFill>
                                          <a:blip r:embed="rId41"/>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12</w:t>
                      </w:r>
                    </w:p>
                    <w:p>
                      <w:pPr>
                        <w:pStyle w:val="TextBody"/>
                        <w:bidi w:val="0"/>
                        <w:spacing w:before="0" w:after="0"/>
                        <w:jc w:val="both"/>
                        <w:rPr/>
                      </w:pPr>
                      <w:r>
                        <w:rPr/>
                        <w:drawing>
                          <wp:inline distT="0" distB="0" distL="0" distR="0">
                            <wp:extent cx="2571750" cy="1819275"/>
                            <wp:effectExtent l="0" t="0" r="0" b="0"/>
                            <wp:docPr id="1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 descr=""/>
                                    <pic:cNvPicPr>
                                      <a:picLocks noChangeAspect="1" noChangeArrowheads="1"/>
                                    </pic:cNvPicPr>
                                  </pic:nvPicPr>
                                  <pic:blipFill>
                                    <a:blip r:embed="rId42"/>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Who is required to pre-clear and provide advance notice of transactions?</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w:t>
      </w:r>
      <w:r>
        <w:rPr>
          <w:rFonts w:ascii="Proxima Nova;sans-serif" w:hAnsi="Proxima Nova;sans-serif"/>
          <w:b w:val="false"/>
          <w:color w:val="000000"/>
          <w:sz w:val="22"/>
        </w:rPr>
        <w:t xml:space="preserve">In addition to the requirements above, officers, directors and other applicable members of management as set forth on </w:t>
      </w:r>
      <w:r>
        <w:rPr>
          <w:rFonts w:ascii="Proxima Nova;sans-serif" w:hAnsi="Proxima Nova;sans-serif"/>
          <w:b/>
          <w:color w:val="000000"/>
          <w:sz w:val="22"/>
        </w:rPr>
        <w:t>Appendix B</w:t>
      </w:r>
      <w:r>
        <w:rPr>
          <w:color w:val="000000"/>
        </w:rPr>
        <w:t xml:space="preserve"> </w:t>
      </w:r>
      <w:r>
        <w:rPr>
          <w:rFonts w:ascii="Proxima Nova;sans-serif" w:hAnsi="Proxima Nova;sans-serif"/>
          <w:b w:val="false"/>
          <w:color w:val="000000"/>
          <w:sz w:val="22"/>
        </w:rPr>
        <w:t>who have been notified that they are subject to pre-clearance requirements face a further restriction: Even during an open trading window, they may not engage in any transaction in the Company’s securities without first obtaining pre-clearance of the transaction from the Compliance Coordinator (as identified in the Company’s Section 16 Compliance Program) at least two (2)</w:t>
      </w:r>
      <w:r>
        <w:rPr>
          <w:color w:val="000000"/>
        </w:rPr>
        <w:t xml:space="preserve"> </w:t>
      </w:r>
      <w:r>
        <w:rPr>
          <w:rFonts w:ascii="Proxima Nova;sans-serif" w:hAnsi="Proxima Nova;sans-serif"/>
          <w:b w:val="false"/>
          <w:color w:val="000000"/>
          <w:sz w:val="22"/>
        </w:rPr>
        <w:t xml:space="preserve">business days in advance of the proposed transaction. The Compliance Coordinator will then determine whether the transaction may proceed and, if so, will help comply with any required reporting requirements under Section 16(a) of the Exchange Act. Pre-cleared transactions (other than gifts) not completed within four (4) business days will require new pre-clearance. The Company may choose to shorten this period.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Are individuals subject to pre-clearance required to provide advanced notice of stock option exercises?</w:t>
      </w:r>
    </w:p>
    <w:p>
      <w:pPr>
        <w:pStyle w:val="TextBody"/>
        <w:bidi w:val="0"/>
        <w:spacing w:lineRule="auto" w:line="288" w:before="0" w:after="240"/>
        <w:ind w:left="0" w:right="0" w:hanging="720"/>
        <w:jc w:val="both"/>
        <w:rPr>
          <w:rFonts w:ascii="Proxima Nova;sans-serif" w:hAnsi="Proxima Nova;sans-serif"/>
          <w:b w:val="false"/>
          <w:color w:val="000000"/>
          <w:sz w:val="22"/>
          <w:shd w:fill="FFFFFF" w:val="clear"/>
        </w:rPr>
      </w:pPr>
      <w:r>
        <w:rPr>
          <w:rFonts w:ascii="Proxima Nova;sans-serif" w:hAnsi="Proxima Nova;sans-serif"/>
          <w:b w:val="false"/>
          <w:color w:val="000000"/>
          <w:sz w:val="22"/>
          <w:shd w:fill="FFFFFF" w:val="clear"/>
        </w:rPr>
        <w:t>A:     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so that the Company may assist in any Section 16 reporting obligations.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additional requirements apply to individuals subject to Section 16?</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A:     Officers and directors, who are subject to the reporting obligations under Section 16 of the Exchange Act, should take care not to violate the prohibition on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Sanctions and Other Information</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happens if I violate this Policy?</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Violating the Company’s policies may result in disciplinary action, which may include termination of your employment or other relationship with the Company. </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are the sanctions if I trade on material nonpublic information or tip off someone else?</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In addition to disciplinary action by the Company—which may include termination of employment—you may be liable for civil sanctions for trading on material nonpublic information. The sanctions may include return of any profit made or loss avoided as well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092960"/>
                <wp:effectExtent l="0" t="0" r="0" b="0"/>
                <wp:wrapNone/>
                <wp:docPr id="162" name="Frame137"/>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13</w:t>
                            </w:r>
                            <w:r>
                              <w:br w:type="page"/>
                            </w:r>
                          </w:p>
                          <w:p>
                            <w:pPr>
                              <w:pStyle w:val="TextBody"/>
                              <w:bidi w:val="0"/>
                              <w:spacing w:before="0" w:after="0"/>
                              <w:jc w:val="both"/>
                              <w:rPr/>
                            </w:pPr>
                            <w:r>
                              <w:rPr/>
                              <w:drawing>
                                <wp:inline distT="0" distB="0" distL="0" distR="0">
                                  <wp:extent cx="2571750" cy="1819275"/>
                                  <wp:effectExtent l="0" t="0" r="0" b="0"/>
                                  <wp:docPr id="1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 descr=""/>
                                          <pic:cNvPicPr>
                                            <a:picLocks noChangeAspect="1" noChangeArrowheads="1"/>
                                          </pic:cNvPicPr>
                                        </pic:nvPicPr>
                                        <pic:blipFill>
                                          <a:blip r:embed="rId43"/>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13</w:t>
                      </w:r>
                    </w:p>
                    <w:p>
                      <w:pPr>
                        <w:pStyle w:val="TextBody"/>
                        <w:bidi w:val="0"/>
                        <w:spacing w:before="0" w:after="0"/>
                        <w:jc w:val="both"/>
                        <w:rPr/>
                      </w:pPr>
                      <w:r>
                        <w:rPr/>
                        <w:drawing>
                          <wp:inline distT="0" distB="0" distL="0" distR="0">
                            <wp:extent cx="2571750" cy="1819275"/>
                            <wp:effectExtent l="0" t="0" r="0" b="0"/>
                            <wp:docPr id="16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 descr=""/>
                                    <pic:cNvPicPr>
                                      <a:picLocks noChangeAspect="1" noChangeArrowheads="1"/>
                                    </pic:cNvPicPr>
                                  </pic:nvPicPr>
                                  <pic:blipFill>
                                    <a:blip r:embed="rId44"/>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Proxima Nova;sans-serif" w:hAnsi="Proxima Nova;sans-serif"/>
          <w:b w:val="false"/>
          <w:color w:val="000000"/>
          <w:sz w:val="22"/>
        </w:rPr>
      </w:pPr>
      <w:r>
        <w:rPr>
          <w:rFonts w:ascii="Proxima Nova;sans-serif" w:hAnsi="Proxima Nova;sans-serif"/>
          <w:b w:val="false"/>
          <w:color w:val="000000"/>
          <w:sz w:val="22"/>
        </w:rPr>
        <w:t>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you may also be subject to criminal penalties. Anyone convicted of criminal insider trading could face prison and additional fines.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What is “loss avoided”?</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Q:     Who should I contact if I have questions about this Policy or specific trades?</w:t>
      </w:r>
    </w:p>
    <w:p>
      <w:pPr>
        <w:pStyle w:val="TextBody"/>
        <w:bidi w:val="0"/>
        <w:spacing w:lineRule="auto" w:line="288" w:before="0" w:after="240"/>
        <w:ind w:left="0" w:right="0" w:hanging="720"/>
        <w:jc w:val="both"/>
        <w:rPr/>
      </w:pPr>
      <w:r>
        <w:rPr>
          <w:rFonts w:ascii="Proxima Nova;sans-serif" w:hAnsi="Proxima Nova;sans-serif"/>
          <w:b w:val="false"/>
          <w:color w:val="000000"/>
          <w:sz w:val="22"/>
        </w:rPr>
        <w:t>A:</w:t>
      </w:r>
      <w:r>
        <w:rPr>
          <w:color w:val="000000"/>
        </w:rPr>
        <w:t xml:space="preserve">     </w:t>
      </w:r>
      <w:r>
        <w:rPr>
          <w:rFonts w:ascii="Proxima Nova;sans-serif" w:hAnsi="Proxima Nova;sans-serif"/>
          <w:b w:val="false"/>
          <w:color w:val="000000"/>
          <w:sz w:val="22"/>
        </w:rPr>
        <w:t xml:space="preserve">You should email the Compliance Coordinator at </w:t>
      </w:r>
      <w:r>
        <w:rPr>
          <w:rFonts w:ascii="Proxima Nova;sans-serif" w:hAnsi="Proxima Nova;sans-serif"/>
          <w:b w:val="false"/>
          <w:color w:val="1155CC"/>
          <w:sz w:val="22"/>
          <w:u w:val="single"/>
        </w:rPr>
        <w:t>compliance@allbirds.com</w:t>
      </w:r>
      <w:r>
        <w:rPr>
          <w:rFonts w:ascii="Proxima Nova;sans-serif" w:hAnsi="Proxima Nova;sans-serif"/>
          <w:b w:val="false"/>
          <w:color w:val="000000"/>
          <w:sz w:val="22"/>
        </w:rPr>
        <w:t>.</w:t>
      </w:r>
    </w:p>
    <w:p>
      <w:pPr>
        <w:pStyle w:val="TextBody"/>
        <w:bidi w:val="0"/>
        <w:spacing w:lineRule="auto" w:line="288" w:before="0" w:after="240"/>
        <w:ind w:left="0" w:right="0" w:hanging="720"/>
        <w:jc w:val="both"/>
        <w:rPr>
          <w:rFonts w:ascii="Proxima Nova;sans-serif" w:hAnsi="Proxima Nova;sans-serif"/>
          <w:b/>
          <w:color w:val="000000"/>
          <w:sz w:val="22"/>
        </w:rPr>
      </w:pPr>
      <w:r>
        <w:rPr>
          <w:rFonts w:ascii="Proxima Nova;sans-serif" w:hAnsi="Proxima Nova;sans-serif"/>
          <w:b/>
          <w:color w:val="000000"/>
          <w:sz w:val="22"/>
        </w:rPr>
        <w:t xml:space="preserve">Q:     Do changes to this Policy require approval by the Board? </w:t>
      </w:r>
    </w:p>
    <w:p>
      <w:pPr>
        <w:pStyle w:val="TextBody"/>
        <w:bidi w:val="0"/>
        <w:spacing w:lineRule="auto" w:line="288" w:before="0" w:after="240"/>
        <w:ind w:left="0" w:right="0" w:hanging="720"/>
        <w:jc w:val="both"/>
        <w:rPr>
          <w:rFonts w:ascii="Proxima Nova;sans-serif" w:hAnsi="Proxima Nova;sans-serif"/>
          <w:b w:val="false"/>
          <w:color w:val="000000"/>
          <w:sz w:val="22"/>
        </w:rPr>
      </w:pPr>
      <w:r>
        <w:rPr>
          <w:rFonts w:ascii="Proxima Nova;sans-serif" w:hAnsi="Proxima Nova;sans-serif"/>
          <w:b w:val="false"/>
          <w:color w:val="000000"/>
          <w:sz w:val="22"/>
        </w:rPr>
        <w:t>A:    Yes. Changes to this Policy require approval by the Board or a duly appointed committee of the Board.</w:t>
      </w:r>
    </w:p>
    <w:p>
      <w:pPr>
        <w:pStyle w:val="TextBody"/>
        <w:bidi w:val="0"/>
        <w:spacing w:lineRule="auto" w:line="288" w:before="120" w:after="283"/>
        <w:jc w:val="both"/>
        <w:rPr>
          <w:rFonts w:ascii="Proxima Nova;sans-serif" w:hAnsi="Proxima Nova;sans-serif"/>
          <w:b/>
          <w:color w:val="000000"/>
          <w:sz w:val="22"/>
        </w:rPr>
      </w:pPr>
      <w:r>
        <w:rPr>
          <w:rFonts w:ascii="Proxima Nova;sans-serif" w:hAnsi="Proxima Nova;sans-serif"/>
          <w:b/>
          <w:color w:val="000000"/>
          <w:sz w:val="22"/>
        </w:rPr>
        <w:br/>
        <w:t>Approved by the Board of Directors: September 13, 2021</w:t>
      </w:r>
    </w:p>
    <w:p>
      <w:pPr>
        <w:pStyle w:val="TextBody"/>
        <w:bidi w:val="0"/>
        <w:spacing w:lineRule="auto" w:line="288" w:before="120" w:after="283"/>
        <w:jc w:val="both"/>
        <w:rPr>
          <w:rFonts w:ascii="Proxima Nova;sans-serif" w:hAnsi="Proxima Nova;sans-serif"/>
          <w:b/>
          <w:color w:val="000000"/>
          <w:sz w:val="22"/>
        </w:rPr>
      </w:pPr>
      <w:r>
        <w:rPr>
          <w:rFonts w:ascii="Proxima Nova;sans-serif" w:hAnsi="Proxima Nova;sans-serif"/>
          <w:b/>
          <w:color w:val="000000"/>
          <w:sz w:val="22"/>
        </w:rPr>
        <w:t>Effective: November 5,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092960"/>
                <wp:effectExtent l="0" t="0" r="0" b="0"/>
                <wp:wrapNone/>
                <wp:docPr id="165" name="Frame138"/>
                <a:graphic xmlns:a="http://schemas.openxmlformats.org/drawingml/2006/main">
                  <a:graphicData uri="http://schemas.microsoft.com/office/word/2010/wordprocessingShape">
                    <wps:wsp>
                      <wps:cNvSpPr txBox="1"/>
                      <wps:spPr>
                        <a:xfrm>
                          <a:off x="0" y="0"/>
                          <a:ext cx="6480175" cy="2092960"/>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14</w:t>
                            </w:r>
                            <w:r>
                              <w:br w:type="page"/>
                            </w:r>
                          </w:p>
                          <w:p>
                            <w:pPr>
                              <w:pStyle w:val="TextBody"/>
                              <w:bidi w:val="0"/>
                              <w:spacing w:before="0" w:after="0"/>
                              <w:jc w:val="both"/>
                              <w:rPr/>
                            </w:pPr>
                            <w:r>
                              <w:rPr/>
                              <w:drawing>
                                <wp:inline distT="0" distB="0" distL="0" distR="0">
                                  <wp:extent cx="2571750" cy="1819275"/>
                                  <wp:effectExtent l="0" t="0" r="0" b="0"/>
                                  <wp:docPr id="16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 descr=""/>
                                          <pic:cNvPicPr>
                                            <a:picLocks noChangeAspect="1" noChangeArrowheads="1"/>
                                          </pic:cNvPicPr>
                                        </pic:nvPicPr>
                                        <pic:blipFill>
                                          <a:blip r:embed="rId45"/>
                                          <a:stretch>
                                            <a:fillRect/>
                                          </a:stretch>
                                        </pic:blipFill>
                                        <pic:spPr bwMode="auto">
                                          <a:xfrm>
                                            <a:off x="0" y="0"/>
                                            <a:ext cx="2571750" cy="1819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14</w:t>
                      </w:r>
                    </w:p>
                    <w:p>
                      <w:pPr>
                        <w:pStyle w:val="TextBody"/>
                        <w:bidi w:val="0"/>
                        <w:spacing w:before="0" w:after="0"/>
                        <w:jc w:val="both"/>
                        <w:rPr/>
                      </w:pPr>
                      <w:r>
                        <w:rPr/>
                        <w:drawing>
                          <wp:inline distT="0" distB="0" distL="0" distR="0">
                            <wp:extent cx="2571750" cy="1819275"/>
                            <wp:effectExtent l="0" t="0" r="0" b="0"/>
                            <wp:docPr id="16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 descr=""/>
                                    <pic:cNvPicPr>
                                      <a:picLocks noChangeAspect="1" noChangeArrowheads="1"/>
                                    </pic:cNvPicPr>
                                  </pic:nvPicPr>
                                  <pic:blipFill>
                                    <a:blip r:embed="rId46"/>
                                    <a:stretch>
                                      <a:fillRect/>
                                    </a:stretch>
                                  </pic:blipFill>
                                  <pic:spPr bwMode="auto">
                                    <a:xfrm>
                                      <a:off x="0" y="0"/>
                                      <a:ext cx="2571750" cy="1819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center"/>
        <w:rPr>
          <w:rFonts w:ascii="Proxima Nova;sans-serif" w:hAnsi="Proxima Nova;sans-serif"/>
          <w:b/>
          <w:color w:val="000000"/>
          <w:sz w:val="22"/>
          <w:u w:val="single"/>
        </w:rPr>
      </w:pPr>
      <w:r>
        <w:rPr>
          <w:rFonts w:ascii="Proxima Nova;sans-serif" w:hAnsi="Proxima Nova;sans-serif"/>
          <w:b/>
          <w:color w:val="000000"/>
          <w:sz w:val="22"/>
          <w:u w:val="single"/>
        </w:rPr>
        <w:t>Appendix A</w:t>
      </w:r>
    </w:p>
    <w:p>
      <w:pPr>
        <w:pStyle w:val="TextBody"/>
        <w:bidi w:val="0"/>
        <w:spacing w:lineRule="auto" w:line="288" w:before="0" w:after="0"/>
        <w:jc w:val="center"/>
        <w:rPr>
          <w:rFonts w:ascii="Proxima Nova;sans-serif" w:hAnsi="Proxima Nova;sans-serif"/>
          <w:b/>
          <w:color w:val="000000"/>
          <w:sz w:val="22"/>
        </w:rPr>
      </w:pPr>
      <w:r>
        <w:rPr>
          <w:rFonts w:ascii="Proxima Nova;sans-serif" w:hAnsi="Proxima Nova;sans-serif"/>
          <w:b/>
          <w:color w:val="000000"/>
          <w:sz w:val="22"/>
        </w:rPr>
        <w:t>Specified Persons</w:t>
      </w:r>
    </w:p>
    <w:p>
      <w:pPr>
        <w:pStyle w:val="TextBody"/>
        <w:bidi w:val="0"/>
        <w:spacing w:before="0" w:after="0"/>
        <w:jc w:val="center"/>
        <w:rPr/>
      </w:pPr>
      <w:r>
        <w:rPr/>
      </w:r>
    </w:p>
    <w:p>
      <w:pPr>
        <w:pStyle w:val="TextBody"/>
        <w:bidi w:val="0"/>
        <w:spacing w:lineRule="auto" w:line="288" w:before="0" w:after="0"/>
        <w:jc w:val="center"/>
        <w:rPr/>
      </w:pPr>
      <w:r>
        <w:rPr>
          <w:rFonts w:ascii="Proxima Nova;sans-serif" w:hAnsi="Proxima Nova;sans-serif"/>
          <w:b/>
          <w:color w:val="000000"/>
          <w:sz w:val="22"/>
        </w:rPr>
        <w:t>(Non-Officer Employees and Designated Third Parties</w:t>
      </w:r>
      <w:r>
        <w:rPr>
          <w:color w:val="000000"/>
        </w:rPr>
        <w:t xml:space="preserve"> </w:t>
      </w:r>
    </w:p>
    <w:p>
      <w:pPr>
        <w:pStyle w:val="TextBody"/>
        <w:bidi w:val="0"/>
        <w:spacing w:lineRule="auto" w:line="288" w:before="0" w:after="0"/>
        <w:jc w:val="center"/>
        <w:rPr>
          <w:rFonts w:ascii="Proxima Nova;sans-serif" w:hAnsi="Proxima Nova;sans-serif"/>
          <w:b/>
          <w:color w:val="000000"/>
          <w:sz w:val="22"/>
        </w:rPr>
      </w:pPr>
      <w:r>
        <w:rPr>
          <w:rFonts w:ascii="Proxima Nova;sans-serif" w:hAnsi="Proxima Nova;sans-serif"/>
          <w:b/>
          <w:color w:val="000000"/>
          <w:sz w:val="22"/>
        </w:rPr>
        <w:t>Subject to Quarterly Trading Blackout Periods)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All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68"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A-1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A-1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center"/>
        <w:rPr>
          <w:rFonts w:ascii="Proxima Nova;sans-serif" w:hAnsi="Proxima Nova;sans-serif"/>
          <w:b/>
          <w:color w:val="000000"/>
          <w:sz w:val="22"/>
          <w:u w:val="single"/>
        </w:rPr>
      </w:pPr>
      <w:r>
        <w:rPr>
          <w:rFonts w:ascii="Proxima Nova;sans-serif" w:hAnsi="Proxima Nova;sans-serif"/>
          <w:b/>
          <w:color w:val="000000"/>
          <w:sz w:val="22"/>
          <w:u w:val="single"/>
        </w:rPr>
        <w:t>Appendix B</w:t>
      </w:r>
    </w:p>
    <w:p>
      <w:pPr>
        <w:pStyle w:val="TextBody"/>
        <w:bidi w:val="0"/>
        <w:spacing w:lineRule="auto" w:line="288" w:before="0" w:after="0"/>
        <w:jc w:val="center"/>
        <w:rPr>
          <w:rFonts w:ascii="Proxima Nova;sans-serif" w:hAnsi="Proxima Nova;sans-serif"/>
          <w:b/>
          <w:color w:val="000000"/>
          <w:sz w:val="22"/>
        </w:rPr>
      </w:pPr>
      <w:r>
        <w:rPr>
          <w:rFonts w:ascii="Proxima Nova;sans-serif" w:hAnsi="Proxima Nova;sans-serif"/>
          <w:b/>
          <w:color w:val="000000"/>
          <w:sz w:val="22"/>
        </w:rPr>
        <w:t>Persons Subject to Pre-clearance Requirements</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All members of the Board</w:t>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 xml:space="preserve">All members of the Executive Leadership Team (ELT) and the Leadership Team (LT) </w:t>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All members of the Legal team</w:t>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Members of the Finance team above L8</w:t>
      </w:r>
    </w:p>
    <w:p>
      <w:pPr>
        <w:pStyle w:val="TextBody"/>
        <w:bidi w:val="0"/>
        <w:spacing w:lineRule="auto" w:line="288" w:before="0" w:after="0"/>
        <w:ind w:left="0" w:right="0" w:hanging="360"/>
        <w:jc w:val="both"/>
        <w:rPr/>
      </w:pPr>
      <w:r>
        <w:rPr>
          <w:color w:val="000000"/>
        </w:rPr>
        <w:t>●</w:t>
      </w:r>
      <w:r>
        <w:rPr>
          <w:rFonts w:ascii="Proxima Nova;sans-serif" w:hAnsi="Proxima Nova;sans-serif"/>
          <w:b w:val="false"/>
          <w:color w:val="000000"/>
          <w:sz w:val="22"/>
        </w:rPr>
        <w:t>All executive assistants</w:t>
      </w:r>
    </w:p>
    <w:p>
      <w:pPr>
        <w:pStyle w:val="TextBody"/>
        <w:bidi w:val="0"/>
        <w:spacing w:lineRule="auto" w:line="288"/>
        <w:ind w:left="0" w:right="0" w:hanging="360"/>
        <w:jc w:val="both"/>
        <w:rPr/>
      </w:pPr>
      <w:r>
        <w:rPr>
          <w:color w:val="000000"/>
        </w:rPr>
        <w:t>●</w:t>
      </w:r>
      <w:r>
        <w:rPr>
          <w:rFonts w:ascii="Proxima Nova;sans-serif" w:hAnsi="Proxima Nova;sans-serif"/>
          <w:b w:val="false"/>
          <w:color w:val="000000"/>
          <w:sz w:val="22"/>
        </w:rPr>
        <w:t>Additional individuals as determined and notified by the Compliance Coordinator as necessary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69"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B-1</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left"/>
                        <w:rPr/>
                      </w:pPr>
                      <w:r>
                        <w:rPr>
                          <w:color w:val="000000"/>
                        </w:rPr>
                        <w:t>    </w:t>
                      </w:r>
                      <w:r>
                        <w:rPr>
                          <w:rFonts w:ascii="Proxima Nova;sans-serif" w:hAnsi="Proxima Nova;sans-serif"/>
                          <w:b w:val="false"/>
                          <w:color w:val="000000"/>
                          <w:sz w:val="22"/>
                        </w:rPr>
                        <w:t>B-1</w:t>
                      </w:r>
                    </w:p>
                    <w:p>
                      <w:pPr>
                        <w:pStyle w:val="TextBody"/>
                        <w:bidi w:val="0"/>
                        <w:spacing w:before="0" w:after="0"/>
                        <w:jc w:val="both"/>
                        <w:rPr/>
                      </w:pPr>
                      <w:r>
                        <w:rPr/>
                      </w:r>
                    </w:p>
                  </w:txbxContent>
                </v:textbox>
                <w10:wrap type="none"/>
              </v:rect>
            </w:pict>
          </mc:Fallback>
        </mc:AlternateContent>
      </w:r>
    </w:p>
    <w:p>
      <w:pPr>
        <w:pStyle w:val="TextBody"/>
        <w:bidi w:val="0"/>
        <w:spacing w:lineRule="atLeast" w:line="240" w:before="1200" w:after="360"/>
        <w:jc w:val="left"/>
        <w:rPr>
          <w:rFonts w:ascii="sans-serif" w:hAnsi="sans-serif"/>
          <w:b/>
          <w:color w:val="000000"/>
          <w:sz w:val="24"/>
        </w:rPr>
      </w:pPr>
      <w:r>
        <w:rPr>
          <w:rFonts w:ascii="sans-serif" w:hAnsi="sans-serif"/>
          <w:b/>
          <w:color w:val="000000"/>
          <w:sz w:val="24"/>
        </w:rPr>
        <w:t>CONSENT OF INDEPENDENT REGISTERED PUBLIC ACCOUNTING FIRM</w:t>
      </w:r>
    </w:p>
    <w:p>
      <w:pPr>
        <w:pStyle w:val="TextBody"/>
        <w:bidi w:val="0"/>
        <w:spacing w:lineRule="auto" w:line="240" w:before="0" w:after="180"/>
        <w:jc w:val="left"/>
        <w:rPr>
          <w:rFonts w:ascii="sans-serif" w:hAnsi="sans-serif"/>
          <w:b w:val="false"/>
          <w:color w:val="000000"/>
          <w:sz w:val="22"/>
        </w:rPr>
      </w:pPr>
      <w:r>
        <w:rPr>
          <w:rFonts w:ascii="sans-serif" w:hAnsi="sans-serif"/>
          <w:b w:val="false"/>
          <w:color w:val="000000"/>
          <w:sz w:val="22"/>
        </w:rPr>
        <w:t>We consent to the incorporation by reference in Registration Statement Nos. 333-260696, 333-260697, 333-263892, 333-270456, 333-277866, and 333-285723 on Form S-8 and No. 333-288434 on Form S-3 of our report dated March 30, 2026, relating to the financial statements of Allbirds, Inc., appearing in the Annual Report on Form 10-K of Allbirds, Inc. for the year ended December 31, 2025.</w:t>
      </w:r>
    </w:p>
    <w:p>
      <w:pPr>
        <w:pStyle w:val="TextBody"/>
        <w:bidi w:val="0"/>
        <w:spacing w:before="0" w:after="180"/>
        <w:jc w:val="left"/>
        <w:rPr/>
      </w:pPr>
      <w:r>
        <w:rPr/>
      </w:r>
    </w:p>
    <w:p>
      <w:pPr>
        <w:pStyle w:val="TextBody"/>
        <w:bidi w:val="0"/>
        <w:spacing w:lineRule="auto" w:line="240" w:before="0" w:after="180"/>
        <w:jc w:val="left"/>
        <w:rPr>
          <w:rFonts w:ascii="sans-serif" w:hAnsi="sans-serif"/>
          <w:b w:val="false"/>
          <w:color w:val="000000"/>
          <w:sz w:val="22"/>
        </w:rPr>
      </w:pPr>
      <w:r>
        <w:rPr>
          <w:rFonts w:ascii="sans-serif" w:hAnsi="sans-serif"/>
          <w:b w:val="false"/>
          <w:color w:val="000000"/>
          <w:sz w:val="22"/>
        </w:rPr>
        <w:t>March 30, 2026</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/s/ Deloitte &amp; Touche LLP</w:t>
      </w:r>
    </w:p>
    <w:p>
      <w:pPr>
        <w:pStyle w:val="TextBody"/>
        <w:bidi w:val="0"/>
        <w:spacing w:lineRule="auto" w:line="240" w:before="0" w:after="180"/>
        <w:jc w:val="left"/>
        <w:rPr>
          <w:rFonts w:ascii="sans-serif" w:hAnsi="sans-serif"/>
          <w:b w:val="false"/>
          <w:color w:val="000000"/>
          <w:sz w:val="22"/>
        </w:rPr>
      </w:pPr>
      <w:r>
        <w:rPr>
          <w:rFonts w:ascii="sans-serif" w:hAnsi="sans-serif"/>
          <w:b w:val="false"/>
          <w:color w:val="000000"/>
          <w:sz w:val="22"/>
        </w:rPr>
        <w:t>San Francisco, California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70"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 Joe Vernachio, certify that:</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Allbirds, Inc.;</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240"/>
        <w:ind w:left="0" w:right="0" w:hanging="692"/>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tbl>
      <w:tblPr>
        <w:tblW w:w="2520" w:type="dxa"/>
        <w:jc w:val="right"/>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 Joe Vernachio</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Joe Vernachio</w:t>
            </w:r>
          </w:p>
        </w:tc>
      </w:tr>
      <w:tr>
        <w:trPr/>
        <w:tc>
          <w:tcPr>
            <w:tcW w:w="2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2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71"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 Ann Mitchell, certify that:</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Allbirds, Inc.;</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240"/>
        <w:ind w:left="0" w:right="0" w:hanging="692"/>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p>
      <w:pPr>
        <w:pStyle w:val="TextBody"/>
        <w:bidi w:val="0"/>
        <w:spacing w:lineRule="auto" w:line="240" w:before="0" w:after="0"/>
        <w:ind w:left="0" w:right="0" w:firstLine="720"/>
        <w:jc w:val="both"/>
        <w:rPr>
          <w:color w:val="000000"/>
        </w:rPr>
      </w:pPr>
      <w:r>
        <w:rPr>
          <w:color w:val="000000"/>
        </w:rPr>
        <w:t>    </w:t>
      </w:r>
    </w:p>
    <w:tbl>
      <w:tblPr>
        <w:tblW w:w="2534" w:type="dxa"/>
        <w:jc w:val="right"/>
        <w:tblInd w:w="0" w:type="dxa"/>
        <w:tblLayout w:type="fixed"/>
        <w:tblCellMar>
          <w:top w:w="28" w:type="dxa"/>
          <w:left w:w="28" w:type="dxa"/>
          <w:bottom w:w="28" w:type="dxa"/>
          <w:right w:w="28" w:type="dxa"/>
        </w:tblCellMar>
      </w:tblPr>
      <w:tblGrid>
        <w:gridCol w:w="811"/>
        <w:gridCol w:w="714"/>
        <w:gridCol w:w="1009"/>
      </w:tblGrid>
      <w:tr>
        <w:trPr/>
        <w:tc>
          <w:tcPr>
            <w:tcW w:w="8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Mitchell</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Mitchell</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72"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0" w:after="240"/>
        <w:jc w:val="both"/>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Joe Vernachio, Chief Executive Officer of Allbirds, Inc. (the “Company”), hereby certifies that, to the best of his knowledge:</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Company’s Annual Report on Form 10-K for the period ended December 31, 2025, to which this Certification is attached as Exhibit 32.1 (the “Periodic Report”), fully complies with the requirements of Section 13(a) or Section 15(d) of the Exchange Act; and</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Date: March 31, 2026</w:t>
      </w:r>
    </w:p>
    <w:tbl>
      <w:tblPr>
        <w:tblW w:w="2520" w:type="dxa"/>
        <w:jc w:val="right"/>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Joe Vernachio</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 Vernachio</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73"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0" w:after="240"/>
        <w:jc w:val="both"/>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Ann Mitchell, Chief Financial Officer of Allbirds, Inc. (the “Company”), hereby certifies that, to the best of her knowledge:</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Company’s Annual Report on Form 10-K for the period ended December 31, 2025, to which this Certification is attached as Exhibit 32.2 (the “Periodic Report”), fully complies with the requirements of Section 13(a) or Section 15(d) of the Exchange Act; and</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Periodic Report fairly presents, in all material respects, the financial condition and results of operations of the Company.</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Date: March 31, 2026</w:t>
      </w:r>
    </w:p>
    <w:tbl>
      <w:tblPr>
        <w:tblW w:w="2534" w:type="dxa"/>
        <w:jc w:val="right"/>
        <w:tblInd w:w="0" w:type="dxa"/>
        <w:tblLayout w:type="fixed"/>
        <w:tblCellMar>
          <w:top w:w="28" w:type="dxa"/>
          <w:left w:w="28" w:type="dxa"/>
          <w:bottom w:w="28" w:type="dxa"/>
          <w:right w:w="28" w:type="dxa"/>
        </w:tblCellMar>
      </w:tblPr>
      <w:tblGrid>
        <w:gridCol w:w="811"/>
        <w:gridCol w:w="714"/>
        <w:gridCol w:w="1009"/>
      </w:tblGrid>
      <w:tr>
        <w:trPr/>
        <w:tc>
          <w:tcPr>
            <w:tcW w:w="8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Mitchell</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Mitchell</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74"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center"/>
        <w:rPr>
          <w:rFonts w:ascii="Times New Roman;serif" w:hAnsi="Times New Roman;serif"/>
          <w:b/>
          <w:color w:val="000000"/>
          <w:sz w:val="22"/>
        </w:rPr>
      </w:pPr>
      <w:r>
        <w:rPr>
          <w:rFonts w:ascii="Times New Roman;serif" w:hAnsi="Times New Roman;serif"/>
          <w:b/>
          <w:color w:val="000000"/>
          <w:sz w:val="22"/>
        </w:rPr>
        <w:t>ALLBIRDS, INC.</w:t>
      </w:r>
    </w:p>
    <w:p>
      <w:pPr>
        <w:pStyle w:val="TextBody"/>
        <w:bidi w:val="0"/>
        <w:spacing w:lineRule="auto" w:line="240" w:before="0" w:after="220"/>
        <w:jc w:val="center"/>
        <w:rPr>
          <w:rFonts w:ascii="Times New Roman;serif" w:hAnsi="Times New Roman;serif"/>
          <w:b/>
          <w:color w:val="000000"/>
          <w:sz w:val="22"/>
        </w:rPr>
      </w:pPr>
      <w:r>
        <w:rPr>
          <w:rFonts w:ascii="Times New Roman;serif" w:hAnsi="Times New Roman;serif"/>
          <w:b/>
          <w:color w:val="000000"/>
          <w:sz w:val="22"/>
        </w:rPr>
        <w:t>Incentive Compensation Recoupment Policy</w:t>
      </w:r>
    </w:p>
    <w:p>
      <w:pPr>
        <w:pStyle w:val="TextBody"/>
        <w:bidi w:val="0"/>
        <w:spacing w:lineRule="auto" w:line="240" w:before="0" w:after="220"/>
        <w:jc w:val="both"/>
        <w:rPr/>
      </w:pPr>
      <w:r>
        <w:rPr>
          <w:rFonts w:ascii="Times New Roman;serif" w:hAnsi="Times New Roman;serif"/>
          <w:b/>
          <w:color w:val="000000"/>
          <w:sz w:val="22"/>
        </w:rPr>
        <w:t>1.</w:t>
      </w:r>
      <w:r>
        <w:rPr>
          <w:rFonts w:ascii="Times New Roman;serif" w:hAnsi="Times New Roman;serif"/>
          <w:b/>
          <w:color w:val="000000"/>
          <w:sz w:val="22"/>
        </w:rPr>
        <w:t>Introduction</w:t>
      </w:r>
    </w:p>
    <w:p>
      <w:pPr>
        <w:pStyle w:val="TextBody"/>
        <w:bidi w:val="0"/>
        <w:spacing w:lineRule="auto" w:line="240" w:before="0" w:after="220"/>
        <w:ind w:left="0" w:right="0" w:firstLine="720"/>
        <w:jc w:val="both"/>
        <w:rPr/>
      </w:pPr>
      <w:r>
        <w:rPr>
          <w:rFonts w:ascii="Times New Roman;serif" w:hAnsi="Times New Roman;serif"/>
          <w:b w:val="false"/>
          <w:color w:val="000000"/>
          <w:sz w:val="22"/>
        </w:rPr>
        <w:t>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of Allbirds,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has determined that it is in the best interests of the Company and its stockholders to adopt this Incentive Compensation Recoupment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40" w:before="0" w:after="220"/>
        <w:ind w:left="0" w:right="0" w:firstLine="720"/>
        <w:jc w:val="both"/>
        <w:rPr/>
      </w:pPr>
      <w:r>
        <w:rPr>
          <w:rFonts w:ascii="Times New Roman;serif" w:hAnsi="Times New Roman;serif"/>
          <w:b w:val="false"/>
          <w:color w:val="000000"/>
          <w:sz w:val="22"/>
        </w:rPr>
        <w:t>This Policy is designed to comply with, and shall be interpreted to be consistent with, Section 10D of the Exchange Act, Rule 10D-1 promulgated thereunder (“</w:t>
      </w:r>
      <w:r>
        <w:rPr>
          <w:rFonts w:ascii="Times New Roman;serif" w:hAnsi="Times New Roman;serif"/>
          <w:b/>
          <w:i/>
          <w:color w:val="000000"/>
          <w:sz w:val="22"/>
        </w:rPr>
        <w:t>Rule 10D-1</w:t>
      </w:r>
      <w:r>
        <w:rPr>
          <w:color w:val="000000"/>
        </w:rPr>
        <w:t>”</w:t>
      </w:r>
      <w:r>
        <w:rPr>
          <w:rFonts w:ascii="Times New Roman;serif" w:hAnsi="Times New Roman;serif"/>
          <w:b w:val="false"/>
          <w:color w:val="000000"/>
          <w:sz w:val="22"/>
        </w:rPr>
        <w:t>) and Nasdaq Listing Rule 5608 (the “</w:t>
      </w:r>
      <w:r>
        <w:rPr>
          <w:rFonts w:ascii="Times New Roman;serif" w:hAnsi="Times New Roman;serif"/>
          <w:b/>
          <w:i/>
          <w:color w:val="000000"/>
          <w:sz w:val="22"/>
        </w:rPr>
        <w:t>Listing Standards</w:t>
      </w:r>
      <w:r>
        <w:rPr>
          <w:color w:val="000000"/>
        </w:rPr>
        <w:t>”</w:t>
      </w:r>
      <w:r>
        <w:rPr>
          <w:rFonts w:ascii="Times New Roman;serif" w:hAnsi="Times New Roman;serif"/>
          <w:b w:val="false"/>
          <w:color w:val="000000"/>
          <w:sz w:val="22"/>
        </w:rPr>
        <w:t>).</w:t>
      </w:r>
    </w:p>
    <w:p>
      <w:pPr>
        <w:pStyle w:val="TextBody"/>
        <w:bidi w:val="0"/>
        <w:spacing w:lineRule="auto" w:line="240" w:before="0" w:after="220"/>
        <w:jc w:val="both"/>
        <w:rPr/>
      </w:pPr>
      <w:r>
        <w:rPr>
          <w:rFonts w:ascii="Times New Roman;serif" w:hAnsi="Times New Roman;serif"/>
          <w:b/>
          <w:color w:val="000000"/>
          <w:sz w:val="22"/>
        </w:rPr>
        <w:t>2.</w:t>
      </w:r>
      <w:r>
        <w:rPr>
          <w:rFonts w:ascii="Times New Roman;serif" w:hAnsi="Times New Roman;serif"/>
          <w:b/>
          <w:color w:val="000000"/>
          <w:sz w:val="22"/>
        </w:rPr>
        <w:t>Effective Date</w:t>
      </w:r>
    </w:p>
    <w:p>
      <w:pPr>
        <w:pStyle w:val="TextBody"/>
        <w:bidi w:val="0"/>
        <w:spacing w:lineRule="auto" w:line="240" w:before="0" w:after="220"/>
        <w:ind w:left="0" w:right="0" w:firstLine="720"/>
        <w:jc w:val="both"/>
        <w:rPr/>
      </w:pPr>
      <w:r>
        <w:rPr>
          <w:rFonts w:ascii="Times New Roman;serif" w:hAnsi="Times New Roman;serif"/>
          <w:b w:val="false"/>
          <w:color w:val="000000"/>
          <w:sz w:val="22"/>
        </w:rPr>
        <w:t>This Policy shall apply to all Incentive Compensation that is received by a Covered Officer on or after October 2, 2023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Incentive Compensation is deemed “</w:t>
      </w:r>
      <w:r>
        <w:rPr>
          <w:rFonts w:ascii="Times New Roman;serif" w:hAnsi="Times New Roman;serif"/>
          <w:b/>
          <w:i/>
          <w:color w:val="000000"/>
          <w:sz w:val="22"/>
        </w:rPr>
        <w:t>received</w:t>
      </w:r>
      <w:r>
        <w:rPr>
          <w:color w:val="000000"/>
        </w:rPr>
        <w:t xml:space="preserve">” </w:t>
      </w:r>
      <w:r>
        <w:rPr>
          <w:rFonts w:ascii="Times New Roman;serif" w:hAnsi="Times New Roman;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40" w:before="0" w:after="220"/>
        <w:jc w:val="both"/>
        <w:rPr/>
      </w:pPr>
      <w:r>
        <w:rPr>
          <w:rFonts w:ascii="Times New Roman;serif" w:hAnsi="Times New Roman;serif"/>
          <w:b/>
          <w:color w:val="000000"/>
          <w:sz w:val="22"/>
        </w:rPr>
        <w:t>3.</w:t>
      </w:r>
      <w:r>
        <w:rPr>
          <w:rFonts w:ascii="Times New Roman;serif" w:hAnsi="Times New Roman;serif"/>
          <w:b/>
          <w:color w:val="000000"/>
          <w:sz w:val="22"/>
        </w:rPr>
        <w:t>Definitions</w:t>
      </w:r>
    </w:p>
    <w:p>
      <w:pPr>
        <w:pStyle w:val="TextBody"/>
        <w:bidi w:val="0"/>
        <w:spacing w:lineRule="auto" w:line="240" w:before="0" w:after="220"/>
        <w:ind w:left="0" w:right="0" w:firstLine="810"/>
        <w:jc w:val="both"/>
        <w:rPr/>
      </w:pPr>
      <w:r>
        <w:rPr>
          <w:color w:val="000000"/>
        </w:rPr>
        <w:t>“</w:t>
      </w:r>
      <w:r>
        <w:rPr>
          <w:rFonts w:ascii="Times New Roman;serif" w:hAnsi="Times New Roman;serif"/>
          <w:b/>
          <w:i/>
          <w:color w:val="000000"/>
          <w:sz w:val="22"/>
        </w:rPr>
        <w:t>Accounting Restatement</w:t>
      </w:r>
      <w:r>
        <w:rPr>
          <w:color w:val="000000"/>
        </w:rPr>
        <w:t xml:space="preserve">” </w:t>
      </w:r>
      <w:r>
        <w:rPr>
          <w:rFonts w:ascii="Times New Roman;serif" w:hAnsi="Times New Roman;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Accounting Restatement Date</w:t>
      </w:r>
      <w:r>
        <w:rPr>
          <w:color w:val="000000"/>
        </w:rPr>
        <w:t xml:space="preserve">” </w:t>
      </w:r>
      <w:r>
        <w:rPr>
          <w:rFonts w:ascii="Times New Roman;serif" w:hAnsi="Times New Roman;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Administrator</w:t>
      </w:r>
      <w:r>
        <w:rPr>
          <w:color w:val="000000"/>
        </w:rPr>
        <w:t xml:space="preserve">” </w:t>
      </w:r>
      <w:r>
        <w:rPr>
          <w:rFonts w:ascii="Times New Roman;serif" w:hAnsi="Times New Roman;serif"/>
          <w:b w:val="false"/>
          <w:color w:val="000000"/>
          <w:sz w:val="22"/>
        </w:rPr>
        <w:t>means the Compensation Committee or, in the absence of such committee, the Board.</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U.S. Internal Revenue Code of 1986, as amended, and the regulations promulgated thereunder.</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Compensation Committee</w:t>
      </w:r>
      <w:r>
        <w:rPr>
          <w:color w:val="000000"/>
        </w:rPr>
        <w:t xml:space="preserve">” </w:t>
      </w:r>
      <w:r>
        <w:rPr>
          <w:rFonts w:ascii="Times New Roman;serif" w:hAnsi="Times New Roman;serif"/>
          <w:b w:val="false"/>
          <w:color w:val="000000"/>
          <w:sz w:val="22"/>
        </w:rPr>
        <w:t>means the Management Compensation and Leadership Committee of the Board.</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Covered Officer</w:t>
      </w:r>
      <w:r>
        <w:rPr>
          <w:color w:val="000000"/>
        </w:rPr>
        <w:t xml:space="preserve">” </w:t>
      </w:r>
      <w:r>
        <w:rPr>
          <w:rFonts w:ascii="Times New Roman;serif" w:hAnsi="Times New Roman;serif"/>
          <w:b w:val="false"/>
          <w:color w:val="000000"/>
          <w:sz w:val="22"/>
        </w:rPr>
        <w:t>means each current and former Executive Officer.</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Exchange</w:t>
      </w:r>
      <w:r>
        <w:rPr>
          <w:color w:val="000000"/>
        </w:rPr>
        <w:t xml:space="preserve">” </w:t>
      </w:r>
      <w:r>
        <w:rPr>
          <w:rFonts w:ascii="Times New Roman;serif" w:hAnsi="Times New Roman;serif"/>
          <w:b w:val="false"/>
          <w:color w:val="000000"/>
          <w:sz w:val="22"/>
        </w:rPr>
        <w:t>means the Nasdaq Stock Market.</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U.S. Securities Exchange Act of 1934, as amended.</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Executive Officer</w:t>
      </w:r>
      <w:r>
        <w:rPr>
          <w:color w:val="000000"/>
        </w:rPr>
        <w:t xml:space="preserve">” </w:t>
      </w:r>
      <w:r>
        <w:rPr>
          <w:rFonts w:ascii="Times New Roman;serif" w:hAnsi="Times New Roman;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75"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Financial Reporting Measures</w:t>
      </w:r>
      <w:r>
        <w:rPr>
          <w:color w:val="000000"/>
        </w:rPr>
        <w:t xml:space="preserve">” </w:t>
      </w:r>
      <w:r>
        <w:rPr>
          <w:rFonts w:ascii="Times New Roman;serif" w:hAnsi="Times New Roman;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erif" w:hAnsi="Times New Roman;serif"/>
          <w:b/>
          <w:i/>
          <w:color w:val="000000"/>
          <w:sz w:val="22"/>
        </w:rPr>
        <w:t>TSR</w:t>
      </w:r>
      <w:r>
        <w:rPr>
          <w:color w:val="000000"/>
        </w:rPr>
        <w:t>”</w:t>
      </w:r>
      <w:r>
        <w:rPr>
          <w:rFonts w:ascii="Times New Roman;serif" w:hAnsi="Times New Roman;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Incentive Compensation</w:t>
      </w:r>
      <w:r>
        <w:rPr>
          <w:color w:val="000000"/>
        </w:rPr>
        <w:t xml:space="preserve">” </w:t>
      </w:r>
      <w:r>
        <w:rPr>
          <w:rFonts w:ascii="Times New Roman;serif" w:hAnsi="Times New Roman;serif"/>
          <w:b w:val="false"/>
          <w:color w:val="000000"/>
          <w:sz w:val="22"/>
        </w:rPr>
        <w:t xml:space="preserve">means any compensation that is granted, earned or vested based wholly or in part upon the attainment of a Financial Reporting Measure. </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Lookback Period</w:t>
      </w:r>
      <w:r>
        <w:rPr>
          <w:color w:val="000000"/>
        </w:rPr>
        <w:t xml:space="preserve">” </w:t>
      </w:r>
      <w:r>
        <w:rPr>
          <w:rFonts w:ascii="Times New Roman;serif" w:hAnsi="Times New Roman;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Recoverable Incentive Compensation</w:t>
      </w:r>
      <w:r>
        <w:rPr>
          <w:color w:val="000000"/>
        </w:rPr>
        <w:t xml:space="preserve">” </w:t>
      </w:r>
      <w:r>
        <w:rPr>
          <w:rFonts w:ascii="Times New Roman;serif" w:hAnsi="Times New Roman;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erif" w:hAnsi="Times New Roman;serif"/>
          <w:b w:val="false"/>
          <w:i/>
          <w:color w:val="000000"/>
          <w:sz w:val="22"/>
        </w:rPr>
        <w:t>i.e.</w:t>
      </w:r>
      <w:r>
        <w:rPr>
          <w:rFonts w:ascii="Times New Roman;serif" w:hAnsi="Times New Roman;serif"/>
          <w:b w:val="false"/>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40" w:before="0" w:after="220"/>
        <w:ind w:left="0" w:right="0" w:firstLine="720"/>
        <w:jc w:val="both"/>
        <w:rPr/>
      </w:pPr>
      <w:r>
        <w:rPr>
          <w:color w:val="000000"/>
        </w:rPr>
        <w:t>“</w:t>
      </w:r>
      <w:r>
        <w:rPr>
          <w:rFonts w:ascii="Times New Roman;serif" w:hAnsi="Times New Roman;serif"/>
          <w:b/>
          <w:i/>
          <w:color w:val="000000"/>
          <w:sz w:val="22"/>
        </w:rPr>
        <w:t>SEC</w:t>
      </w:r>
      <w:r>
        <w:rPr>
          <w:color w:val="000000"/>
        </w:rPr>
        <w:t xml:space="preserve">” </w:t>
      </w:r>
      <w:r>
        <w:rPr>
          <w:rFonts w:ascii="Times New Roman;serif" w:hAnsi="Times New Roman;serif"/>
          <w:b w:val="false"/>
          <w:color w:val="000000"/>
          <w:sz w:val="22"/>
        </w:rPr>
        <w:t>means the U.S. Securities and Exchange Commission.</w:t>
      </w:r>
    </w:p>
    <w:p>
      <w:pPr>
        <w:pStyle w:val="TextBody"/>
        <w:bidi w:val="0"/>
        <w:spacing w:lineRule="auto" w:line="240" w:before="0" w:after="220"/>
        <w:jc w:val="both"/>
        <w:rPr/>
      </w:pPr>
      <w:r>
        <w:rPr>
          <w:rFonts w:ascii="Times New Roman;serif" w:hAnsi="Times New Roman;serif"/>
          <w:b/>
          <w:color w:val="000000"/>
          <w:sz w:val="22"/>
        </w:rPr>
        <w:t>4.</w:t>
      </w:r>
      <w:r>
        <w:rPr>
          <w:rFonts w:ascii="Times New Roman;serif" w:hAnsi="Times New Roman;serif"/>
          <w:b/>
          <w:color w:val="000000"/>
          <w:sz w:val="22"/>
        </w:rPr>
        <w:t>Recoupment</w:t>
      </w:r>
    </w:p>
    <w:p>
      <w:pPr>
        <w:pStyle w:val="TextBody"/>
        <w:bidi w:val="0"/>
        <w:spacing w:lineRule="auto" w:line="240" w:before="0" w:after="220"/>
        <w:ind w:left="0" w:right="0" w:firstLine="720"/>
        <w:jc w:val="both"/>
        <w:rPr/>
      </w:pPr>
      <w:r>
        <w:rPr>
          <w:rFonts w:ascii="Times New Roman;serif" w:hAnsi="Times New Roman;serif"/>
          <w:b/>
          <w:color w:val="000000"/>
          <w:sz w:val="22"/>
        </w:rPr>
        <w:t>(a)</w:t>
      </w:r>
      <w:r>
        <w:rPr>
          <w:rFonts w:ascii="Times New Roman;serif" w:hAnsi="Times New Roman;serif"/>
          <w:b/>
          <w:color w:val="000000"/>
          <w:sz w:val="22"/>
        </w:rPr>
        <w:t xml:space="preserve">Applicability of Policy. </w:t>
      </w:r>
      <w:r>
        <w:rPr>
          <w:rFonts w:ascii="Times New Roman;serif" w:hAnsi="Times New Roman;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40" w:before="0" w:after="220"/>
        <w:ind w:left="0" w:right="0" w:firstLine="720"/>
        <w:jc w:val="both"/>
        <w:rPr/>
      </w:pPr>
      <w:r>
        <w:rPr>
          <w:rFonts w:ascii="Times New Roman;serif" w:hAnsi="Times New Roman;serif"/>
          <w:b/>
          <w:color w:val="000000"/>
          <w:sz w:val="22"/>
        </w:rPr>
        <w:t>(b)</w:t>
      </w:r>
      <w:r>
        <w:rPr>
          <w:rFonts w:ascii="Times New Roman;serif" w:hAnsi="Times New Roman;serif"/>
          <w:b/>
          <w:color w:val="000000"/>
          <w:sz w:val="22"/>
        </w:rPr>
        <w:t xml:space="preserve">Recoupment Generally. </w:t>
      </w:r>
      <w:r>
        <w:rPr>
          <w:rFonts w:ascii="Times New Roman;serif" w:hAnsi="Times New Roman;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76"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20"/>
        <w:ind w:left="0" w:right="0" w:firstLine="720"/>
        <w:jc w:val="both"/>
        <w:rPr/>
      </w:pPr>
      <w:r>
        <w:rPr>
          <w:rFonts w:ascii="Times New Roman;serif" w:hAnsi="Times New Roman;serif"/>
          <w:b/>
          <w:color w:val="000000"/>
          <w:sz w:val="22"/>
        </w:rPr>
        <w:t>(c)</w:t>
      </w:r>
      <w:r>
        <w:rPr>
          <w:rFonts w:ascii="Times New Roman;serif" w:hAnsi="Times New Roman;serif"/>
          <w:b/>
          <w:color w:val="000000"/>
          <w:sz w:val="22"/>
        </w:rPr>
        <w:t>Impracticability of Recovery.</w:t>
      </w:r>
      <w:r>
        <w:rPr>
          <w:color w:val="000000"/>
        </w:rPr>
        <w:t xml:space="preserve"> </w:t>
      </w:r>
      <w:r>
        <w:rPr>
          <w:rFonts w:ascii="Times New Roman;serif" w:hAnsi="Times New Roman;serif"/>
          <w:b w:val="false"/>
          <w:color w:val="000000"/>
          <w:sz w:val="22"/>
        </w:rPr>
        <w:t>Recoupment may be determined to be impracticable if, and only if:</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40" w:before="0" w:after="220"/>
        <w:ind w:left="0" w:right="0" w:firstLine="720"/>
        <w:jc w:val="both"/>
        <w:rPr/>
      </w:pPr>
      <w:r>
        <w:rPr>
          <w:rFonts w:ascii="Times New Roman;serif" w:hAnsi="Times New Roman;serif"/>
          <w:b/>
          <w:color w:val="000000"/>
          <w:sz w:val="22"/>
        </w:rPr>
        <w:t>(d)</w:t>
      </w:r>
      <w:r>
        <w:rPr>
          <w:rFonts w:ascii="Times New Roman;serif" w:hAnsi="Times New Roman;serif"/>
          <w:b/>
          <w:color w:val="000000"/>
          <w:sz w:val="22"/>
        </w:rPr>
        <w:t>Sources of Recoupment.</w:t>
      </w:r>
      <w:r>
        <w:rPr>
          <w:color w:val="000000"/>
        </w:rPr>
        <w:t xml:space="preserve"> </w:t>
      </w:r>
      <w:r>
        <w:rPr>
          <w:rFonts w:ascii="Times New Roman;serif" w:hAnsi="Times New Roman;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erif" w:hAnsi="Times New Roman;serif"/>
          <w:b w:val="false"/>
          <w:i/>
          <w:color w:val="000000"/>
          <w:sz w:val="22"/>
        </w:rPr>
        <w:t>e.g.</w:t>
      </w:r>
      <w:r>
        <w:rPr>
          <w:rFonts w:ascii="Times New Roman;serif" w:hAnsi="Times New Roman;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40" w:before="0" w:after="220"/>
        <w:ind w:left="0" w:right="0" w:firstLine="720"/>
        <w:jc w:val="both"/>
        <w:rPr/>
      </w:pPr>
      <w:r>
        <w:rPr>
          <w:rFonts w:ascii="Times New Roman;serif" w:hAnsi="Times New Roman;serif"/>
          <w:b/>
          <w:color w:val="000000"/>
          <w:sz w:val="22"/>
        </w:rPr>
        <w:t>(e)</w:t>
      </w:r>
      <w:r>
        <w:rPr>
          <w:rFonts w:ascii="Times New Roman;serif" w:hAnsi="Times New Roman;serif"/>
          <w:b/>
          <w:color w:val="000000"/>
          <w:sz w:val="22"/>
        </w:rPr>
        <w:t>No Indemnification of Covered Officers.</w:t>
      </w:r>
      <w:r>
        <w:rPr>
          <w:color w:val="000000"/>
        </w:rPr>
        <w:t xml:space="preserve"> </w:t>
      </w:r>
      <w:r>
        <w:rPr>
          <w:rFonts w:ascii="Times New Roman;serif" w:hAnsi="Times New Roman;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40" w:before="0" w:after="220"/>
        <w:ind w:left="0" w:right="0" w:firstLine="720"/>
        <w:jc w:val="both"/>
        <w:rPr/>
      </w:pPr>
      <w:r>
        <w:rPr>
          <w:rFonts w:ascii="Times New Roman;serif" w:hAnsi="Times New Roman;serif"/>
          <w:b/>
          <w:color w:val="000000"/>
          <w:sz w:val="22"/>
        </w:rPr>
        <w:t>(f)</w:t>
      </w:r>
      <w:r>
        <w:rPr>
          <w:rFonts w:ascii="Times New Roman;serif" w:hAnsi="Times New Roman;serif"/>
          <w:b/>
          <w:color w:val="000000"/>
          <w:sz w:val="22"/>
        </w:rPr>
        <w:t>Indemnification of Administrator.</w:t>
      </w:r>
      <w:r>
        <w:rPr>
          <w:color w:val="000000"/>
        </w:rPr>
        <w:t xml:space="preserve"> </w:t>
      </w:r>
      <w:r>
        <w:rPr>
          <w:rFonts w:ascii="Times New Roman;serif" w:hAnsi="Times New Roman;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40" w:before="0" w:after="220"/>
        <w:ind w:left="0" w:right="0" w:firstLine="720"/>
        <w:jc w:val="both"/>
        <w:rPr/>
      </w:pPr>
      <w:r>
        <w:rPr>
          <w:rFonts w:ascii="Times New Roman;serif" w:hAnsi="Times New Roman;serif"/>
          <w:b/>
          <w:color w:val="000000"/>
          <w:sz w:val="22"/>
        </w:rPr>
        <w:t>(g)</w:t>
      </w:r>
      <w:r>
        <w:rPr>
          <w:rFonts w:ascii="Times New Roman;serif" w:hAnsi="Times New Roman;serif"/>
          <w:b/>
          <w:color w:val="000000"/>
          <w:sz w:val="22"/>
        </w:rPr>
        <w:t>No</w:t>
      </w:r>
      <w:r>
        <w:rPr>
          <w:color w:val="000000"/>
          <w:shd w:fill="FFFFFF" w:val="clear"/>
        </w:rPr>
        <w:t xml:space="preserve"> “</w:t>
      </w:r>
      <w:r>
        <w:rPr>
          <w:rFonts w:ascii="Times New Roman;serif" w:hAnsi="Times New Roman;serif"/>
          <w:b/>
          <w:color w:val="000000"/>
          <w:sz w:val="22"/>
          <w:shd w:fill="FFFFFF" w:val="clear"/>
        </w:rPr>
        <w:t>Good Reason” for Covered Officers.</w:t>
      </w:r>
      <w:r>
        <w:rPr>
          <w:color w:val="000000"/>
          <w:shd w:fill="FFFFFF" w:val="clear"/>
        </w:rPr>
        <w:t xml:space="preserve"> </w:t>
      </w:r>
      <w:r>
        <w:rPr>
          <w:rFonts w:ascii="Times New Roman;serif" w:hAnsi="Times New Roman;serif"/>
          <w:b w:val="false"/>
          <w:color w:val="000000"/>
          <w:sz w:val="22"/>
          <w:shd w:fill="FFFFFF" w:val="clear"/>
        </w:rPr>
        <w:t>A</w:t>
      </w:r>
      <w:r>
        <w:rPr>
          <w:rFonts w:ascii="Times New Roman;serif" w:hAnsi="Times New Roman;serif"/>
          <w:b w:val="false"/>
          <w:color w:val="000000"/>
          <w:sz w:val="22"/>
        </w:rPr>
        <w:t>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40" w:before="0" w:after="220"/>
        <w:jc w:val="both"/>
        <w:rPr/>
      </w:pPr>
      <w:r>
        <w:rPr>
          <w:rFonts w:ascii="Times New Roman;serif" w:hAnsi="Times New Roman;serif"/>
          <w:b/>
          <w:color w:val="000000"/>
          <w:sz w:val="22"/>
        </w:rPr>
        <w:t>5.</w:t>
      </w:r>
      <w:r>
        <w:rPr>
          <w:rFonts w:ascii="Times New Roman;serif" w:hAnsi="Times New Roman;serif"/>
          <w:b/>
          <w:color w:val="000000"/>
          <w:sz w:val="22"/>
        </w:rPr>
        <w:t>Administration</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77"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40" w:before="0" w:after="220"/>
        <w:jc w:val="both"/>
        <w:rPr/>
      </w:pPr>
      <w:r>
        <w:rPr>
          <w:rFonts w:ascii="Times New Roman;serif" w:hAnsi="Times New Roman;serif"/>
          <w:b/>
          <w:color w:val="000000"/>
          <w:sz w:val="22"/>
        </w:rPr>
        <w:t>6.</w:t>
      </w:r>
      <w:r>
        <w:rPr>
          <w:rFonts w:ascii="Times New Roman;serif" w:hAnsi="Times New Roman;serif"/>
          <w:b/>
          <w:color w:val="000000"/>
          <w:sz w:val="22"/>
        </w:rPr>
        <w:t>Severability</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40" w:before="0" w:after="220"/>
        <w:jc w:val="both"/>
        <w:rPr/>
      </w:pPr>
      <w:r>
        <w:rPr>
          <w:rFonts w:ascii="Times New Roman;serif" w:hAnsi="Times New Roman;serif"/>
          <w:b/>
          <w:color w:val="000000"/>
          <w:sz w:val="22"/>
        </w:rPr>
        <w:t>7.</w:t>
      </w:r>
      <w:r>
        <w:rPr>
          <w:rFonts w:ascii="Times New Roman;serif" w:hAnsi="Times New Roman;serif"/>
          <w:b/>
          <w:color w:val="000000"/>
          <w:sz w:val="22"/>
        </w:rPr>
        <w:t>No Impairment of Other Remedies</w:t>
      </w:r>
    </w:p>
    <w:p>
      <w:pPr>
        <w:pStyle w:val="TextBody"/>
        <w:bidi w:val="0"/>
        <w:spacing w:lineRule="auto" w:line="240" w:before="0" w:after="220"/>
        <w:ind w:left="0" w:right="0" w:firstLine="720"/>
        <w:jc w:val="both"/>
        <w:rPr/>
      </w:pPr>
      <w:r>
        <w:rPr>
          <w:rFonts w:ascii="Times New Roman;serif" w:hAnsi="Times New Roman;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serif" w:hAnsi="Times New Roman;serif"/>
          <w:b/>
          <w:i/>
          <w:color w:val="000000"/>
          <w:sz w:val="22"/>
        </w:rPr>
        <w:t>SOX 304</w:t>
      </w:r>
      <w:r>
        <w:rPr>
          <w:color w:val="000000"/>
        </w:rPr>
        <w:t>”</w:t>
      </w:r>
      <w:r>
        <w:rPr>
          <w:rFonts w:ascii="Times New Roman;serif" w:hAnsi="Times New Roman;serif"/>
          <w:b w:val="false"/>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40" w:before="0" w:after="220"/>
        <w:jc w:val="both"/>
        <w:rPr/>
      </w:pPr>
      <w:r>
        <w:rPr>
          <w:rFonts w:ascii="Times New Roman;serif" w:hAnsi="Times New Roman;serif"/>
          <w:b/>
          <w:color w:val="000000"/>
          <w:sz w:val="22"/>
        </w:rPr>
        <w:t>8.</w:t>
      </w:r>
      <w:r>
        <w:rPr>
          <w:rFonts w:ascii="Times New Roman;serif" w:hAnsi="Times New Roman;serif"/>
          <w:b/>
          <w:color w:val="000000"/>
          <w:sz w:val="22"/>
        </w:rPr>
        <w:t>Amendment; Termination</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40" w:before="0" w:after="220"/>
        <w:jc w:val="both"/>
        <w:rPr/>
      </w:pPr>
      <w:r>
        <w:rPr>
          <w:rFonts w:ascii="Times New Roman;serif" w:hAnsi="Times New Roman;serif"/>
          <w:b/>
          <w:color w:val="000000"/>
          <w:sz w:val="22"/>
        </w:rPr>
        <w:t>9.</w:t>
      </w:r>
      <w:r>
        <w:rPr>
          <w:rFonts w:ascii="Times New Roman;serif" w:hAnsi="Times New Roman;serif"/>
          <w:b/>
          <w:color w:val="000000"/>
          <w:sz w:val="22"/>
        </w:rPr>
        <w:t>Successors</w:t>
      </w:r>
    </w:p>
    <w:p>
      <w:pPr>
        <w:pStyle w:val="TextBody"/>
        <w:bidi w:val="0"/>
        <w:spacing w:lineRule="auto" w:line="240"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40" w:before="0" w:after="220"/>
        <w:jc w:val="both"/>
        <w:rPr>
          <w:rFonts w:ascii="Times New Roman;serif" w:hAnsi="Times New Roman;serif"/>
          <w:b/>
          <w:color w:val="000000"/>
          <w:sz w:val="22"/>
        </w:rPr>
      </w:pPr>
      <w:r>
        <w:rPr>
          <w:rFonts w:ascii="Times New Roman;serif" w:hAnsi="Times New Roman;serif"/>
          <w:b/>
          <w:color w:val="000000"/>
          <w:sz w:val="22"/>
        </w:rPr>
        <w:t>10.    Required Filings</w:t>
      </w:r>
    </w:p>
    <w:p>
      <w:pPr>
        <w:pStyle w:val="TextBody"/>
        <w:bidi w:val="0"/>
        <w:spacing w:lineRule="auto" w:line="240" w:before="0" w:after="220"/>
        <w:jc w:val="both"/>
        <w:rPr>
          <w:color w:val="000000"/>
        </w:rPr>
      </w:pPr>
      <w:r>
        <w:rPr>
          <w:color w:val="000000"/>
        </w:rPr>
        <w:t>    </w:t>
      </w:r>
      <w:r>
        <w:rPr>
          <w:rFonts w:ascii="Times New Roman;serif" w:hAnsi="Times New Roman;serif"/>
          <w:b w:val="false"/>
          <w:color w:val="000000"/>
          <w:sz w:val="22"/>
        </w:rPr>
        <w:t>The Company shall make any disclosures and filings with respect to this Policy that are required by law, including as required by the SEC.</w:t>
      </w:r>
    </w:p>
    <w:p>
      <w:pPr>
        <w:pStyle w:val="TextBody"/>
        <w:bidi w:val="0"/>
        <w:spacing w:lineRule="auto" w:line="240" w:before="0" w:after="220"/>
        <w:jc w:val="both"/>
        <w:rPr>
          <w:rFonts w:ascii="Times New Roman;serif" w:hAnsi="Times New Roman;serif"/>
          <w:b/>
          <w:color w:val="000000"/>
          <w:sz w:val="22"/>
        </w:rPr>
      </w:pPr>
      <w:r>
        <w:rPr>
          <w:rFonts w:ascii="Times New Roman;serif" w:hAnsi="Times New Roman;serif"/>
          <w:b/>
          <w:color w:val="000000"/>
          <w:sz w:val="22"/>
        </w:rPr>
        <w:t>Adopted by the Board of Directors: November 7, 2023</w:t>
      </w:r>
    </w:p>
    <w:p>
      <w:pPr>
        <w:pStyle w:val="TextBody"/>
        <w:bidi w:val="0"/>
        <w:spacing w:lineRule="auto" w:line="240" w:before="0" w:after="220"/>
        <w:jc w:val="both"/>
        <w:rPr>
          <w:rFonts w:ascii="Times New Roman;serif" w:hAnsi="Times New Roman;serif"/>
          <w:b/>
          <w:color w:val="000000"/>
          <w:sz w:val="22"/>
        </w:rPr>
      </w:pPr>
      <w:r>
        <w:rPr>
          <w:rFonts w:ascii="Times New Roman;serif" w:hAnsi="Times New Roman;serif"/>
          <w:b/>
          <w:color w:val="000000"/>
          <w:sz w:val="22"/>
        </w:rPr>
        <w:t>Effective: November 7, 2023</w:t>
      </w:r>
    </w:p>
    <w:p>
      <w:pPr>
        <w:pStyle w:val="TextBody"/>
        <w:bidi w:val="0"/>
        <w:spacing w:lineRule="auto" w:line="240" w:before="0" w:after="220"/>
        <w:jc w:val="center"/>
        <w:rPr>
          <w:rFonts w:ascii="Times New Roman;serif" w:hAnsi="Times New Roman;serif"/>
          <w:b w:val="false"/>
          <w:color w:val="000000"/>
          <w:sz w:val="22"/>
        </w:rPr>
      </w:pPr>
      <w:r>
        <w:rPr>
          <w:rFonts w:ascii="Times New Roman;serif" w:hAnsi="Times New Roman;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78"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20"/>
        <w:jc w:val="center"/>
        <w:rPr>
          <w:rFonts w:ascii="Times New Roman;serif" w:hAnsi="Times New Roman;serif"/>
          <w:b/>
          <w:color w:val="000000"/>
          <w:sz w:val="22"/>
        </w:rPr>
      </w:pPr>
      <w:r>
        <w:rPr>
          <w:rFonts w:ascii="Times New Roman;serif" w:hAnsi="Times New Roman;serif"/>
          <w:b/>
          <w:color w:val="000000"/>
          <w:sz w:val="22"/>
        </w:rPr>
        <w:t>Allbirds, Inc.</w:t>
      </w:r>
    </w:p>
    <w:p>
      <w:pPr>
        <w:pStyle w:val="TextBody"/>
        <w:bidi w:val="0"/>
        <w:spacing w:lineRule="auto" w:line="240" w:before="0" w:after="220"/>
        <w:jc w:val="center"/>
        <w:rPr>
          <w:rFonts w:ascii="Times New Roman;serif" w:hAnsi="Times New Roman;serif"/>
          <w:b/>
          <w:color w:val="000000"/>
          <w:sz w:val="22"/>
        </w:rPr>
      </w:pPr>
      <w:r>
        <w:rPr>
          <w:rFonts w:ascii="Times New Roman;serif" w:hAnsi="Times New Roman;serif"/>
          <w:b/>
          <w:color w:val="000000"/>
          <w:sz w:val="22"/>
        </w:rPr>
        <w:t>Incentive Compensation Recoupment Policy</w:t>
      </w:r>
    </w:p>
    <w:p>
      <w:pPr>
        <w:pStyle w:val="TextBody"/>
        <w:bidi w:val="0"/>
        <w:spacing w:lineRule="auto" w:line="240" w:before="0" w:after="220"/>
        <w:jc w:val="center"/>
        <w:rPr>
          <w:rFonts w:ascii="Times New Roman;serif" w:hAnsi="Times New Roman;serif"/>
          <w:b/>
          <w:color w:val="000000"/>
          <w:sz w:val="22"/>
        </w:rPr>
      </w:pPr>
      <w:r>
        <w:rPr>
          <w:rFonts w:ascii="Times New Roman;serif" w:hAnsi="Times New Roman;serif"/>
          <w:b/>
          <w:color w:val="000000"/>
          <w:sz w:val="22"/>
        </w:rPr>
        <w:t>Form of Executive Acknowledgment</w:t>
      </w:r>
    </w:p>
    <w:p>
      <w:pPr>
        <w:pStyle w:val="TextBody"/>
        <w:bidi w:val="0"/>
        <w:spacing w:before="0" w:after="220"/>
        <w:jc w:val="both"/>
        <w:rPr/>
      </w:pPr>
      <w:r>
        <w:rPr/>
      </w:r>
    </w:p>
    <w:p>
      <w:pPr>
        <w:pStyle w:val="TextBody"/>
        <w:bidi w:val="0"/>
        <w:spacing w:lineRule="auto" w:line="240" w:before="0" w:after="220"/>
        <w:jc w:val="both"/>
        <w:rPr/>
      </w:pPr>
      <w:r>
        <w:rPr>
          <w:rFonts w:ascii="Times New Roman;serif" w:hAnsi="Times New Roman;serif"/>
          <w:b w:val="false"/>
          <w:color w:val="000000"/>
          <w:sz w:val="22"/>
        </w:rPr>
        <w:t>I, the undersigned, agree and acknowledge that I am bound by, and subject to, the Allbirds, Inc. Incentive Compensation Recoupment Policy, as may be amended, restated, supplemented or otherwise modified from time to time (the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In the event of any inconsistency between the Policy and the terms of any employment agreement, offer letter or other individual agreement with Allbirds,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r>
    </w:p>
    <w:p>
      <w:pPr>
        <w:pStyle w:val="TextBody"/>
        <w:bidi w:val="0"/>
        <w:spacing w:lineRule="auto" w:line="240" w:before="0" w:after="220"/>
        <w:jc w:val="both"/>
        <w:rPr>
          <w:rFonts w:ascii="Times New Roman;serif" w:hAnsi="Times New Roman;serif"/>
          <w:b/>
          <w:color w:val="000000"/>
          <w:sz w:val="22"/>
        </w:rPr>
      </w:pPr>
      <w:r>
        <w:rPr>
          <w:rFonts w:ascii="Times New Roman;serif" w:hAnsi="Times New Roman;serif"/>
          <w:b/>
          <w:color w:val="000000"/>
          <w:sz w:val="22"/>
        </w:rPr>
        <w:t>Agreed and Acknowledged:</w:t>
      </w:r>
    </w:p>
    <w:p>
      <w:pPr>
        <w:pStyle w:val="TextBody"/>
        <w:bidi w:val="0"/>
        <w:spacing w:before="0" w:after="220"/>
        <w:jc w:val="both"/>
        <w:rPr/>
      </w:pPr>
      <w:r>
        <w:rPr/>
      </w:r>
    </w:p>
    <w:p>
      <w:pPr>
        <w:pStyle w:val="TextBody"/>
        <w:bidi w:val="0"/>
        <w:spacing w:lineRule="auto" w:line="240" w:before="0" w:after="220"/>
        <w:jc w:val="both"/>
        <w:rPr>
          <w:color w:val="000000"/>
          <w:u w:val="single"/>
        </w:rPr>
      </w:pPr>
      <w:r>
        <w:rPr>
          <w:color w:val="000000"/>
          <w:u w:val="single"/>
        </w:rPr>
        <w:t>    </w:t>
      </w:r>
    </w:p>
    <w:p>
      <w:pPr>
        <w:pStyle w:val="TextBody"/>
        <w:bidi w:val="0"/>
        <w:spacing w:lineRule="auto" w:line="240" w:before="0" w:after="22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40" w:before="0" w:after="22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lineRule="auto" w:line="240" w:before="0" w:after="220"/>
        <w:jc w:val="both"/>
        <w:rPr/>
      </w:pPr>
      <w:r>
        <w:rPr>
          <w:rFonts w:ascii="Times New Roman;serif" w:hAnsi="Times New Roman;serif"/>
          <w:b w:val="false"/>
          <w:color w:val="000000"/>
          <w:sz w:val="22"/>
        </w:rPr>
        <w:t xml:space="preserve">Date: </w:t>
      </w:r>
      <w:r>
        <w:rPr>
          <w:color w:val="000000"/>
          <w:u w:val="single"/>
        </w:rPr>
        <w:t>    </w:t>
      </w:r>
    </w:p>
    <w:p>
      <w:pPr>
        <w:pStyle w:val="TextBody"/>
        <w:bidi w:val="0"/>
        <w:spacing w:before="0" w:after="220"/>
        <w:jc w:val="both"/>
        <w:rPr/>
      </w:pPr>
      <w:r>
        <w:rPr/>
      </w:r>
    </w:p>
    <w:p>
      <w:pPr>
        <w:pStyle w:val="TextBody"/>
        <w:bidi w:val="0"/>
        <w:spacing w:before="0" w:after="2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7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Proxima Nov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909/000162828021022029/exhibit31-8xk.htm" TargetMode="External"/><Relationship Id="rId3" Type="http://schemas.openxmlformats.org/officeDocument/2006/relationships/hyperlink" Target="https://www.sec.gov/Archives/edgar/data/1653909/000165390924000064/rsscharteramendment.htm" TargetMode="External"/><Relationship Id="rId4" Type="http://schemas.openxmlformats.org/officeDocument/2006/relationships/hyperlink" Target="https://www.sec.gov/Archives/edgar/data/1653909/000162828021022029/exhibit32-8xk.htm" TargetMode="External"/><Relationship Id="rId5" Type="http://schemas.openxmlformats.org/officeDocument/2006/relationships/hyperlink" Target="https://www.sec.gov/Archives/edgar/data/1653909/000162828021018716/exhibit41-sx1a1.htm" TargetMode="External"/><Relationship Id="rId6" Type="http://schemas.openxmlformats.org/officeDocument/2006/relationships/hyperlink" Target="https://www.sec.gov/Archives/edgar/data/1653909/000162828021017824/exhibit101-sx1.htm" TargetMode="External"/><Relationship Id="rId7" Type="http://schemas.openxmlformats.org/officeDocument/2006/relationships/hyperlink" Target="https://www.sec.gov/Archives/edgar/data/1653909/000165390922000016/ex-43xbirdfy2110xkxdescrip.htm" TargetMode="External"/><Relationship Id="rId8" Type="http://schemas.openxmlformats.org/officeDocument/2006/relationships/hyperlink" Target="https://www.sec.gov/Archives/edgar/data/1653909/000162828021017824/exhibit102-sx1.htm" TargetMode="External"/><Relationship Id="rId9" Type="http://schemas.openxmlformats.org/officeDocument/2006/relationships/hyperlink" Target="https://www.sec.gov/Archives/edgar/data/1653909/000162828021020401/exhibit103-sx1a4.htm" TargetMode="External"/><Relationship Id="rId10" Type="http://schemas.openxmlformats.org/officeDocument/2006/relationships/hyperlink" Target="https://www.sec.gov/Archives/edgar/data/1653909/000165390921000014/bird-3q2021x10xqexx102espp.htm" TargetMode="External"/><Relationship Id="rId11" Type="http://schemas.openxmlformats.org/officeDocument/2006/relationships/hyperlink" Target="https://www.sec.gov/Archives/edgar/data/1653909/000162828021017824/exhibit105-sx1.htm" TargetMode="External"/><Relationship Id="rId12" Type="http://schemas.openxmlformats.org/officeDocument/2006/relationships/hyperlink" Target="https://www.sec.gov/Archives/edgar/data/1653909/000162828021020401/exhibit1011-sx1a4.htm" TargetMode="External"/><Relationship Id="rId13" Type="http://schemas.openxmlformats.org/officeDocument/2006/relationships/hyperlink" Target="https://www.sec.gov/Archives/edgar/data/1653909/000165390923000064/offerletter-anniemitchell.htm" TargetMode="External"/><Relationship Id="rId14" Type="http://schemas.openxmlformats.org/officeDocument/2006/relationships/hyperlink" Target="https://www.sec.gov/Archives/edgar/data/1653909/000165390924000012/ceoofferletter.htm" TargetMode="External"/><Relationship Id="rId15" Type="http://schemas.openxmlformats.org/officeDocument/2006/relationships/hyperlink" Target="https://www.sec.gov/Archives/edgar/data/1653909/000165390924000012/transitionandspecialadviso.htm" TargetMode="External"/><Relationship Id="rId16" Type="http://schemas.openxmlformats.org/officeDocument/2006/relationships/hyperlink" Target="https://www.sec.gov/Archives/edgar/data/1653909/000162828021017824/exhibit1010-sx1.htm" TargetMode="External"/><Relationship Id="rId17" Type="http://schemas.openxmlformats.org/officeDocument/2006/relationships/hyperlink" Target="https://www.sec.gov/Archives/edgar/data/1653909/000162828021019164/exhibit211-sx1a2.htm" TargetMode="External"/><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image" Target="media/image2.png"/><Relationship Id="rId23" Type="http://schemas.openxmlformats.org/officeDocument/2006/relationships/image" Target="media/image2.png"/><Relationship Id="rId24" Type="http://schemas.openxmlformats.org/officeDocument/2006/relationships/image" Target="media/image2.png"/><Relationship Id="rId25" Type="http://schemas.openxmlformats.org/officeDocument/2006/relationships/image" Target="media/image2.png"/><Relationship Id="rId26" Type="http://schemas.openxmlformats.org/officeDocument/2006/relationships/image" Target="media/image2.png"/><Relationship Id="rId27" Type="http://schemas.openxmlformats.org/officeDocument/2006/relationships/image" Target="media/image2.png"/><Relationship Id="rId28" Type="http://schemas.openxmlformats.org/officeDocument/2006/relationships/image" Target="media/image2.png"/><Relationship Id="rId29" Type="http://schemas.openxmlformats.org/officeDocument/2006/relationships/image" Target="media/image2.png"/><Relationship Id="rId30" Type="http://schemas.openxmlformats.org/officeDocument/2006/relationships/image" Target="media/image2.png"/><Relationship Id="rId31" Type="http://schemas.openxmlformats.org/officeDocument/2006/relationships/image" Target="media/image2.png"/><Relationship Id="rId32" Type="http://schemas.openxmlformats.org/officeDocument/2006/relationships/image" Target="media/image2.png"/><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image" Target="media/image2.png"/><Relationship Id="rId36" Type="http://schemas.openxmlformats.org/officeDocument/2006/relationships/image" Target="media/image2.png"/><Relationship Id="rId37" Type="http://schemas.openxmlformats.org/officeDocument/2006/relationships/image" Target="media/image2.png"/><Relationship Id="rId38" Type="http://schemas.openxmlformats.org/officeDocument/2006/relationships/image" Target="media/image2.png"/><Relationship Id="rId39" Type="http://schemas.openxmlformats.org/officeDocument/2006/relationships/image" Target="media/image2.png"/><Relationship Id="rId40" Type="http://schemas.openxmlformats.org/officeDocument/2006/relationships/image" Target="media/image2.png"/><Relationship Id="rId41" Type="http://schemas.openxmlformats.org/officeDocument/2006/relationships/image" Target="media/image2.png"/><Relationship Id="rId42" Type="http://schemas.openxmlformats.org/officeDocument/2006/relationships/image" Target="media/image2.png"/><Relationship Id="rId43" Type="http://schemas.openxmlformats.org/officeDocument/2006/relationships/image" Target="media/image2.png"/><Relationship Id="rId44" Type="http://schemas.openxmlformats.org/officeDocument/2006/relationships/image" Target="media/image2.png"/><Relationship Id="rId45" Type="http://schemas.openxmlformats.org/officeDocument/2006/relationships/image" Target="media/image2.png"/><Relationship Id="rId46" Type="http://schemas.openxmlformats.org/officeDocument/2006/relationships/image" Target="media/image2.pn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89592</Words>
  <Characters>490941</Characters>
  <CharactersWithSpaces>578183</CharactersWithSpaces>
  <Paragraphs>4389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