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637540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661670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125730</wp:posOffset>
            </wp:positionV>
            <wp:extent cx="222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146050</wp:posOffset>
            </wp:positionV>
            <wp:extent cx="2226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210" w:lineRule="exact"/>
        <w:rPr>
          <w:sz w:val="24"/>
          <w:szCs w:val="24"/>
          <w:color w:val="auto"/>
        </w:rPr>
      </w:pPr>
    </w:p>
    <w:p>
      <w:pPr>
        <w:ind w:left="360" w:hanging="340"/>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8"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tbl>
      <w:tblPr>
        <w:tblLayout w:type="fixed"/>
        <w:tblInd w:w="3880" w:type="dxa"/>
        <w:tblCellMar>
          <w:top w:w="0" w:type="dxa"/>
          <w:left w:w="0" w:type="dxa"/>
          <w:bottom w:w="0" w:type="dxa"/>
          <w:right w:w="0" w:type="dxa"/>
        </w:tblCellMar>
      </w:tblPr>
      <w:tr>
        <w:trPr>
          <w:trHeight w:val="193"/>
        </w:trPr>
        <w:tc>
          <w:tcPr>
            <w:tcW w:w="2560" w:type="dxa"/>
            <w:vAlign w:val="bottom"/>
          </w:tcPr>
          <w:p>
            <w:pPr>
              <w:ind w:left="620"/>
              <w:spacing w:after="0"/>
              <w:rPr>
                <w:sz w:val="20"/>
                <w:szCs w:val="20"/>
                <w:color w:val="auto"/>
              </w:rPr>
            </w:pPr>
            <w:r>
              <w:rPr>
                <w:rFonts w:ascii="Times New Roman" w:cs="Times New Roman" w:eastAsia="Times New Roman" w:hAnsi="Times New Roman"/>
                <w:sz w:val="15"/>
                <w:szCs w:val="15"/>
                <w:b w:val="1"/>
                <w:bCs w:val="1"/>
                <w:color w:val="auto"/>
              </w:rPr>
              <w:t>For transition period from</w:t>
            </w:r>
          </w:p>
        </w:tc>
        <w:tc>
          <w:tcPr>
            <w:tcW w:w="9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204"/>
        </w:trPr>
        <w:tc>
          <w:tcPr>
            <w:tcW w:w="350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Commission File Number 001-40963</w:t>
            </w:r>
          </w:p>
        </w:tc>
      </w:tr>
      <w:tr>
        <w:trPr>
          <w:trHeight w:val="173"/>
        </w:trPr>
        <w:tc>
          <w:tcPr>
            <w:tcW w:w="2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bl>
    <w:p>
      <w:pPr>
        <w:spacing w:after="0" w:line="252" w:lineRule="exact"/>
        <w:rPr>
          <w:sz w:val="24"/>
          <w:szCs w:val="24"/>
          <w:color w:val="auto"/>
        </w:rPr>
      </w:pPr>
    </w:p>
    <w:tbl>
      <w:tblPr>
        <w:tblLayout w:type="fixed"/>
        <w:tblInd w:w="1740" w:type="dxa"/>
        <w:tblCellMar>
          <w:top w:w="0" w:type="dxa"/>
          <w:left w:w="0" w:type="dxa"/>
          <w:bottom w:w="0" w:type="dxa"/>
          <w:right w:w="0" w:type="dxa"/>
        </w:tblCellMar>
      </w:tblPr>
      <w:tr>
        <w:trPr>
          <w:trHeight w:val="373"/>
        </w:trPr>
        <w:tc>
          <w:tcPr>
            <w:tcW w:w="2140" w:type="dxa"/>
            <w:vAlign w:val="bottom"/>
          </w:tcPr>
          <w:p>
            <w:pPr>
              <w:spacing w:after="0"/>
              <w:rPr>
                <w:sz w:val="24"/>
                <w:szCs w:val="24"/>
                <w:color w:val="auto"/>
              </w:rPr>
            </w:pPr>
          </w:p>
        </w:tc>
        <w:tc>
          <w:tcPr>
            <w:tcW w:w="5380" w:type="dxa"/>
            <w:vAlign w:val="bottom"/>
            <w:gridSpan w:val="2"/>
          </w:tcPr>
          <w:p>
            <w:pPr>
              <w:jc w:val="center"/>
              <w:ind w:right="1794"/>
              <w:spacing w:after="0"/>
              <w:rPr>
                <w:sz w:val="20"/>
                <w:szCs w:val="20"/>
                <w:color w:val="auto"/>
              </w:rPr>
            </w:pPr>
            <w:r>
              <w:rPr>
                <w:rFonts w:ascii="Times New Roman" w:cs="Times New Roman" w:eastAsia="Times New Roman" w:hAnsi="Times New Roman"/>
                <w:sz w:val="31"/>
                <w:szCs w:val="31"/>
                <w:b w:val="1"/>
                <w:bCs w:val="1"/>
                <w:color w:val="auto"/>
                <w:w w:val="99"/>
              </w:rPr>
              <w:t>Allbirds, Inc.</w:t>
            </w:r>
          </w:p>
        </w:tc>
      </w:tr>
      <w:tr>
        <w:trPr>
          <w:trHeight w:val="178"/>
        </w:trPr>
        <w:tc>
          <w:tcPr>
            <w:tcW w:w="2140" w:type="dxa"/>
            <w:vAlign w:val="bottom"/>
          </w:tcPr>
          <w:p>
            <w:pPr>
              <w:spacing w:after="0"/>
              <w:rPr>
                <w:sz w:val="15"/>
                <w:szCs w:val="15"/>
                <w:color w:val="auto"/>
              </w:rPr>
            </w:pPr>
          </w:p>
        </w:tc>
        <w:tc>
          <w:tcPr>
            <w:tcW w:w="5380" w:type="dxa"/>
            <w:vAlign w:val="bottom"/>
            <w:gridSpan w:val="2"/>
          </w:tcPr>
          <w:p>
            <w:pPr>
              <w:jc w:val="center"/>
              <w:ind w:right="1814"/>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r>
      <w:tr>
        <w:trPr>
          <w:trHeight w:val="190"/>
        </w:trPr>
        <w:tc>
          <w:tcPr>
            <w:tcW w:w="2140" w:type="dxa"/>
            <w:vAlign w:val="bottom"/>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1880" w:type="dxa"/>
            <w:vAlign w:val="bottom"/>
          </w:tcPr>
          <w:p>
            <w:pPr>
              <w:spacing w:after="0"/>
              <w:rPr>
                <w:sz w:val="16"/>
                <w:szCs w:val="16"/>
                <w:color w:val="auto"/>
              </w:rPr>
            </w:pPr>
          </w:p>
        </w:tc>
      </w:tr>
      <w:tr>
        <w:trPr>
          <w:trHeight w:val="380"/>
        </w:trPr>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5380" w:type="dxa"/>
            <w:vAlign w:val="bottom"/>
            <w:gridSpan w:val="2"/>
          </w:tcPr>
          <w:p>
            <w:pPr>
              <w:jc w:val="center"/>
              <w:ind w:left="3685"/>
              <w:spacing w:after="0"/>
              <w:rPr>
                <w:sz w:val="20"/>
                <w:szCs w:val="20"/>
                <w:color w:val="auto"/>
              </w:rPr>
            </w:pPr>
            <w:r>
              <w:rPr>
                <w:rFonts w:ascii="Times New Roman" w:cs="Times New Roman" w:eastAsia="Times New Roman" w:hAnsi="Times New Roman"/>
                <w:sz w:val="17"/>
                <w:szCs w:val="17"/>
                <w:b w:val="1"/>
                <w:bCs w:val="1"/>
                <w:color w:val="auto"/>
              </w:rPr>
              <w:t>47-3999983</w:t>
            </w:r>
          </w:p>
        </w:tc>
      </w:tr>
      <w:tr>
        <w:trPr>
          <w:trHeight w:val="348"/>
        </w:trPr>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500" w:type="dxa"/>
            <w:vAlign w:val="bottom"/>
          </w:tcPr>
          <w:p>
            <w:pPr>
              <w:spacing w:after="0"/>
              <w:rPr>
                <w:sz w:val="24"/>
                <w:szCs w:val="24"/>
                <w:color w:val="auto"/>
              </w:rPr>
            </w:pPr>
          </w:p>
        </w:tc>
        <w:tc>
          <w:tcPr>
            <w:tcW w:w="188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3"/>
        </w:trPr>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500" w:type="dxa"/>
            <w:vAlign w:val="bottom"/>
          </w:tcPr>
          <w:p>
            <w:pPr>
              <w:spacing w:after="0"/>
              <w:rPr>
                <w:sz w:val="19"/>
                <w:szCs w:val="19"/>
                <w:color w:val="auto"/>
              </w:rPr>
            </w:pPr>
          </w:p>
        </w:tc>
        <w:tc>
          <w:tcPr>
            <w:tcW w:w="188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auto"/>
              </w:rPr>
              <w:t>Identification Number)</w:t>
            </w:r>
          </w:p>
        </w:tc>
      </w:tr>
      <w:tr>
        <w:trPr>
          <w:trHeight w:val="337"/>
        </w:trPr>
        <w:tc>
          <w:tcPr>
            <w:tcW w:w="2140" w:type="dxa"/>
            <w:vAlign w:val="bottom"/>
          </w:tcPr>
          <w:p>
            <w:pPr>
              <w:spacing w:after="0"/>
              <w:rPr>
                <w:sz w:val="24"/>
                <w:szCs w:val="24"/>
                <w:color w:val="auto"/>
              </w:rPr>
            </w:pPr>
          </w:p>
        </w:tc>
        <w:tc>
          <w:tcPr>
            <w:tcW w:w="5380" w:type="dxa"/>
            <w:vAlign w:val="bottom"/>
            <w:gridSpan w:val="2"/>
          </w:tcPr>
          <w:p>
            <w:pPr>
              <w:jc w:val="center"/>
              <w:ind w:right="1794"/>
              <w:spacing w:after="0"/>
              <w:rPr>
                <w:sz w:val="20"/>
                <w:szCs w:val="20"/>
                <w:color w:val="auto"/>
              </w:rPr>
            </w:pPr>
            <w:r>
              <w:rPr>
                <w:rFonts w:ascii="Times New Roman" w:cs="Times New Roman" w:eastAsia="Times New Roman" w:hAnsi="Times New Roman"/>
                <w:sz w:val="17"/>
                <w:szCs w:val="17"/>
                <w:b w:val="1"/>
                <w:bCs w:val="1"/>
                <w:color w:val="auto"/>
              </w:rPr>
              <w:t>530 Washington St.</w:t>
            </w:r>
          </w:p>
        </w:tc>
      </w:tr>
      <w:tr>
        <w:trPr>
          <w:trHeight w:val="206"/>
        </w:trPr>
        <w:tc>
          <w:tcPr>
            <w:tcW w:w="2140" w:type="dxa"/>
            <w:vAlign w:val="bottom"/>
          </w:tcPr>
          <w:p>
            <w:pPr>
              <w:spacing w:after="0"/>
              <w:rPr>
                <w:sz w:val="17"/>
                <w:szCs w:val="17"/>
                <w:color w:val="auto"/>
              </w:rPr>
            </w:pPr>
          </w:p>
        </w:tc>
        <w:tc>
          <w:tcPr>
            <w:tcW w:w="5380" w:type="dxa"/>
            <w:vAlign w:val="bottom"/>
            <w:gridSpan w:val="2"/>
          </w:tcPr>
          <w:p>
            <w:pPr>
              <w:jc w:val="center"/>
              <w:ind w:right="1794"/>
              <w:spacing w:after="0"/>
              <w:rPr>
                <w:sz w:val="20"/>
                <w:szCs w:val="20"/>
                <w:color w:val="auto"/>
              </w:rPr>
            </w:pPr>
            <w:r>
              <w:rPr>
                <w:rFonts w:ascii="Times New Roman" w:cs="Times New Roman" w:eastAsia="Times New Roman" w:hAnsi="Times New Roman"/>
                <w:sz w:val="17"/>
                <w:szCs w:val="17"/>
                <w:b w:val="1"/>
                <w:bCs w:val="1"/>
                <w:color w:val="auto"/>
                <w:w w:val="99"/>
              </w:rPr>
              <w:t>San Francisco, CA 94111</w:t>
            </w:r>
          </w:p>
        </w:tc>
      </w:tr>
      <w:tr>
        <w:trPr>
          <w:trHeight w:val="227"/>
        </w:trPr>
        <w:tc>
          <w:tcPr>
            <w:tcW w:w="21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(628) 225-4848</w:t>
            </w:r>
          </w:p>
        </w:tc>
        <w:tc>
          <w:tcPr>
            <w:tcW w:w="1880" w:type="dxa"/>
            <w:vAlign w:val="bottom"/>
          </w:tcPr>
          <w:p>
            <w:pPr>
              <w:spacing w:after="0"/>
              <w:rPr>
                <w:sz w:val="19"/>
                <w:szCs w:val="19"/>
                <w:color w:val="auto"/>
              </w:rPr>
            </w:pPr>
          </w:p>
        </w:tc>
      </w:tr>
    </w:tbl>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121285</wp:posOffset>
            </wp:positionV>
            <wp:extent cx="2226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78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3400" w:type="dxa"/>
            <w:vAlign w:val="bottom"/>
            <w:gridSpan w:val="2"/>
          </w:tcPr>
          <w:p>
            <w:pPr>
              <w:jc w:val="center"/>
              <w:ind w:left="77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383"/>
        </w:trPr>
        <w:tc>
          <w:tcPr>
            <w:tcW w:w="37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color w:val="auto"/>
                <w:w w:val="98"/>
              </w:rPr>
              <w:t>Class A Common Stock, $0.0001 par value per share</w:t>
            </w:r>
          </w:p>
        </w:tc>
        <w:tc>
          <w:tcPr>
            <w:tcW w:w="840" w:type="dxa"/>
            <w:vAlign w:val="bottom"/>
          </w:tcPr>
          <w:p>
            <w:pPr>
              <w:spacing w:after="0"/>
              <w:rPr>
                <w:sz w:val="24"/>
                <w:szCs w:val="24"/>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w w:val="95"/>
              </w:rPr>
              <w:t>BIRD</w:t>
            </w:r>
          </w:p>
        </w:tc>
        <w:tc>
          <w:tcPr>
            <w:tcW w:w="8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200" w:lineRule="exact"/>
        <w:rPr>
          <w:sz w:val="24"/>
          <w:szCs w:val="24"/>
          <w:color w:val="auto"/>
        </w:rPr>
      </w:pPr>
    </w:p>
    <w:p>
      <w:pPr>
        <w:spacing w:after="0" w:line="21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601980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9"/>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488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Accelerated filer</w:t>
            </w:r>
          </w:p>
        </w:tc>
        <w:tc>
          <w:tcPr>
            <w:tcW w:w="46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13"/>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488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6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13"/>
        </w:trPr>
        <w:tc>
          <w:tcPr>
            <w:tcW w:w="1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8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Emerging growth company</w:t>
            </w:r>
          </w:p>
        </w:tc>
        <w:tc>
          <w:tcPr>
            <w:tcW w:w="46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83"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May 1, 2026, the number of shares of the registrant’s Class A common stock outstanding was 6,274,827 and the number of shares of the registrant’s Class B common stock outstanding was 2,531,224.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953135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60" w:type="dxa"/>
            <w:vAlign w:val="bottom"/>
            <w:gridSpan w:val="7"/>
          </w:tcPr>
          <w:p>
            <w:pPr>
              <w:ind w:left="2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180" w:type="dxa"/>
            <w:vAlign w:val="bottom"/>
            <w:gridSpan w:val="22"/>
            <w:vMerge w:val="restart"/>
          </w:tcPr>
          <w:p>
            <w:pPr>
              <w:spacing w:after="0"/>
              <w:rPr>
                <w:sz w:val="20"/>
                <w:szCs w:val="20"/>
                <w:color w:val="auto"/>
              </w:rPr>
            </w:pPr>
            <w:r>
              <w:rPr>
                <w:rFonts w:ascii="Times New Roman" w:cs="Times New Roman" w:eastAsia="Times New Roman" w:hAnsi="Times New Roman"/>
                <w:sz w:val="17"/>
                <w:szCs w:val="17"/>
                <w:color w:val="0000FF"/>
              </w:rPr>
              <w:t>Special Note Regarding Forward-Looking Statements</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180" w:type="dxa"/>
            <w:vAlign w:val="bottom"/>
            <w:gridSpan w:val="22"/>
            <w:vMerge w:val="continue"/>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center"/>
              <w:ind w:right="440"/>
              <w:spacing w:after="0" w:line="173" w:lineRule="exact"/>
              <w:rPr>
                <w:sz w:val="20"/>
                <w:szCs w:val="20"/>
                <w:color w:val="auto"/>
              </w:rPr>
            </w:pPr>
            <w:r>
              <w:rPr>
                <w:rFonts w:ascii="Times New Roman" w:cs="Times New Roman" w:eastAsia="Times New Roman" w:hAnsi="Times New Roman"/>
                <w:sz w:val="17"/>
                <w:szCs w:val="17"/>
                <w:u w:val="single" w:color="auto"/>
                <w:color w:val="0000FF"/>
                <w:w w:val="83"/>
              </w:rPr>
              <w:t>i</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Risk Factors Summary</w:t>
            </w:r>
          </w:p>
        </w:tc>
        <w:tc>
          <w:tcPr>
            <w:tcW w:w="2100" w:type="dxa"/>
            <w:vAlign w:val="bottom"/>
            <w:tcBorders>
              <w:top w:val="single" w:sz="8" w:color="0000FF"/>
            </w:tcBorders>
            <w:gridSpan w:val="7"/>
          </w:tcPr>
          <w:p>
            <w:pPr>
              <w:spacing w:after="0"/>
              <w:rPr>
                <w:sz w:val="17"/>
                <w:szCs w:val="17"/>
                <w:color w:val="auto"/>
              </w:rPr>
            </w:pPr>
          </w:p>
        </w:tc>
        <w:tc>
          <w:tcPr>
            <w:tcW w:w="64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color w:val="0000FF"/>
                <w:w w:val="70"/>
              </w:rPr>
              <w:t>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6"/>
              </w:rPr>
              <w:t>Part I—Financial Information</w:t>
            </w:r>
          </w:p>
        </w:tc>
        <w:tc>
          <w:tcPr>
            <w:tcW w:w="8180" w:type="dxa"/>
            <w:vAlign w:val="bottom"/>
            <w:gridSpan w:val="13"/>
          </w:tcPr>
          <w:p>
            <w:pPr>
              <w:spacing w:after="0"/>
              <w:rPr>
                <w:sz w:val="17"/>
                <w:szCs w:val="17"/>
                <w:color w:val="auto"/>
              </w:rPr>
            </w:pP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720" w:type="dxa"/>
            <w:vAlign w:val="bottom"/>
            <w:gridSpan w:val="3"/>
          </w:tcPr>
          <w:p>
            <w:pPr>
              <w:spacing w:after="0"/>
              <w:rPr>
                <w:sz w:val="17"/>
                <w:szCs w:val="17"/>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3280" w:type="dxa"/>
            <w:vAlign w:val="bottom"/>
            <w:gridSpan w:val="2"/>
          </w:tcPr>
          <w:p>
            <w:pPr>
              <w:spacing w:after="0"/>
              <w:rPr>
                <w:sz w:val="17"/>
                <w:szCs w:val="17"/>
                <w:color w:val="auto"/>
              </w:rPr>
            </w:pP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2400" w:type="dxa"/>
            <w:vAlign w:val="bottom"/>
            <w:gridSpan w:val="5"/>
          </w:tcPr>
          <w:p>
            <w:pPr>
              <w:spacing w:after="0"/>
              <w:rPr>
                <w:sz w:val="17"/>
                <w:szCs w:val="17"/>
                <w:color w:val="auto"/>
              </w:rPr>
            </w:pPr>
          </w:p>
        </w:tc>
        <w:tc>
          <w:tcPr>
            <w:tcW w:w="2600" w:type="dxa"/>
            <w:vAlign w:val="bottom"/>
          </w:tcPr>
          <w:p>
            <w:pPr>
              <w:spacing w:after="0"/>
              <w:rPr>
                <w:sz w:val="17"/>
                <w:szCs w:val="17"/>
                <w:color w:val="auto"/>
              </w:rPr>
            </w:pP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4</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4740" w:type="dxa"/>
            <w:vAlign w:val="bottom"/>
            <w:gridSpan w:val="5"/>
          </w:tcPr>
          <w:p>
            <w:pPr>
              <w:spacing w:after="0"/>
              <w:rPr>
                <w:sz w:val="17"/>
                <w:szCs w:val="17"/>
                <w:color w:val="auto"/>
              </w:rPr>
            </w:pPr>
          </w:p>
        </w:tc>
        <w:tc>
          <w:tcPr>
            <w:tcW w:w="520" w:type="dxa"/>
            <w:vAlign w:val="bottom"/>
            <w:gridSpan w:val="2"/>
          </w:tcPr>
          <w:p>
            <w:pPr>
              <w:jc w:val="center"/>
              <w:ind w:left="355"/>
              <w:spacing w:after="0"/>
              <w:rPr>
                <w:sz w:val="20"/>
                <w:szCs w:val="20"/>
                <w:color w:val="auto"/>
              </w:rPr>
            </w:pPr>
            <w:r>
              <w:rPr>
                <w:rFonts w:ascii="Times New Roman" w:cs="Times New Roman" w:eastAsia="Times New Roman" w:hAnsi="Times New Roman"/>
                <w:sz w:val="17"/>
                <w:szCs w:val="17"/>
                <w:color w:val="0000FF"/>
                <w:w w:val="93"/>
              </w:rPr>
              <w:t>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720" w:type="dxa"/>
            <w:vAlign w:val="bottom"/>
            <w:gridSpan w:val="3"/>
          </w:tcPr>
          <w:p>
            <w:pPr>
              <w:spacing w:after="0"/>
              <w:rPr>
                <w:sz w:val="17"/>
                <w:szCs w:val="17"/>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720" w:type="dxa"/>
            <w:vAlign w:val="bottom"/>
            <w:gridSpan w:val="3"/>
          </w:tcPr>
          <w:p>
            <w:pPr>
              <w:spacing w:after="0"/>
              <w:rPr>
                <w:sz w:val="17"/>
                <w:szCs w:val="17"/>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2020" w:type="dxa"/>
            <w:vAlign w:val="bottom"/>
            <w:gridSpan w:val="3"/>
          </w:tcPr>
          <w:p>
            <w:pPr>
              <w:spacing w:after="0"/>
              <w:rPr>
                <w:sz w:val="17"/>
                <w:szCs w:val="17"/>
                <w:color w:val="auto"/>
              </w:rPr>
            </w:pPr>
          </w:p>
        </w:tc>
        <w:tc>
          <w:tcPr>
            <w:tcW w:w="2600" w:type="dxa"/>
            <w:vAlign w:val="bottom"/>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37</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720" w:type="dxa"/>
            <w:vAlign w:val="bottom"/>
            <w:gridSpan w:val="3"/>
          </w:tcPr>
          <w:p>
            <w:pPr>
              <w:spacing w:after="0"/>
              <w:rPr>
                <w:sz w:val="17"/>
                <w:szCs w:val="17"/>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620" w:type="dxa"/>
            <w:vAlign w:val="bottom"/>
            <w:gridSpan w:val="4"/>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38</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8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Part II—Other Information</w:t>
            </w: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39</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720" w:type="dxa"/>
            <w:vAlign w:val="bottom"/>
            <w:gridSpan w:val="3"/>
          </w:tcPr>
          <w:p>
            <w:pPr>
              <w:spacing w:after="0"/>
              <w:rPr>
                <w:sz w:val="17"/>
                <w:szCs w:val="17"/>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7500" w:type="dxa"/>
            <w:vAlign w:val="bottom"/>
            <w:gridSpan w:val="11"/>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39</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600" w:type="dxa"/>
            <w:vAlign w:val="bottom"/>
          </w:tcPr>
          <w:p>
            <w:pPr>
              <w:spacing w:after="0"/>
              <w:rPr>
                <w:sz w:val="17"/>
                <w:szCs w:val="17"/>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39</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1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61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720" w:type="dxa"/>
            <w:vAlign w:val="bottom"/>
            <w:gridSpan w:val="3"/>
          </w:tcPr>
          <w:p>
            <w:pPr>
              <w:spacing w:after="0"/>
              <w:rPr>
                <w:sz w:val="17"/>
                <w:szCs w:val="17"/>
                <w:color w:val="auto"/>
              </w:rPr>
            </w:pPr>
          </w:p>
        </w:tc>
        <w:tc>
          <w:tcPr>
            <w:tcW w:w="22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920" w:type="dxa"/>
            <w:vAlign w:val="bottom"/>
            <w:gridSpan w:val="5"/>
          </w:tcPr>
          <w:p>
            <w:pPr>
              <w:spacing w:after="0"/>
              <w:rPr>
                <w:sz w:val="17"/>
                <w:szCs w:val="17"/>
                <w:color w:val="auto"/>
              </w:rPr>
            </w:pPr>
          </w:p>
        </w:tc>
        <w:tc>
          <w:tcPr>
            <w:tcW w:w="4620" w:type="dxa"/>
            <w:vAlign w:val="bottom"/>
            <w:gridSpan w:val="4"/>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62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720" w:type="dxa"/>
            <w:vAlign w:val="bottom"/>
            <w:gridSpan w:val="3"/>
          </w:tcPr>
          <w:p>
            <w:pPr>
              <w:spacing w:after="0"/>
              <w:rPr>
                <w:sz w:val="17"/>
                <w:szCs w:val="17"/>
                <w:color w:val="auto"/>
              </w:rPr>
            </w:pPr>
          </w:p>
        </w:tc>
        <w:tc>
          <w:tcPr>
            <w:tcW w:w="22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540" w:type="dxa"/>
            <w:vAlign w:val="bottom"/>
            <w:gridSpan w:val="9"/>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62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720" w:type="dxa"/>
            <w:vAlign w:val="bottom"/>
            <w:gridSpan w:val="3"/>
          </w:tcPr>
          <w:p>
            <w:pPr>
              <w:spacing w:after="0"/>
              <w:rPr>
                <w:sz w:val="17"/>
                <w:szCs w:val="17"/>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420" w:type="dxa"/>
            <w:vAlign w:val="bottom"/>
          </w:tcPr>
          <w:p>
            <w:pPr>
              <w:spacing w:after="0"/>
              <w:rPr>
                <w:sz w:val="17"/>
                <w:szCs w:val="17"/>
                <w:color w:val="auto"/>
              </w:rPr>
            </w:pPr>
          </w:p>
        </w:tc>
        <w:tc>
          <w:tcPr>
            <w:tcW w:w="7080" w:type="dxa"/>
            <w:vAlign w:val="bottom"/>
            <w:gridSpan w:val="10"/>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62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720" w:type="dxa"/>
            <w:vAlign w:val="bottom"/>
            <w:gridSpan w:val="3"/>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5"/>
              </w:rPr>
              <w:t>Exhibits</w:t>
            </w:r>
          </w:p>
        </w:tc>
        <w:tc>
          <w:tcPr>
            <w:tcW w:w="680" w:type="dxa"/>
            <w:vAlign w:val="bottom"/>
            <w:gridSpan w:val="2"/>
          </w:tcPr>
          <w:p>
            <w:pPr>
              <w:spacing w:after="0"/>
              <w:rPr>
                <w:sz w:val="17"/>
                <w:szCs w:val="17"/>
                <w:color w:val="auto"/>
              </w:rPr>
            </w:pPr>
          </w:p>
        </w:tc>
        <w:tc>
          <w:tcPr>
            <w:tcW w:w="7500" w:type="dxa"/>
            <w:vAlign w:val="bottom"/>
            <w:gridSpan w:val="11"/>
          </w:tcPr>
          <w:p>
            <w:pPr>
              <w:spacing w:after="0"/>
              <w:rPr>
                <w:sz w:val="17"/>
                <w:szCs w:val="17"/>
                <w:color w:val="auto"/>
              </w:rPr>
            </w:pPr>
          </w:p>
        </w:tc>
        <w:tc>
          <w:tcPr>
            <w:tcW w:w="520" w:type="dxa"/>
            <w:vAlign w:val="bottom"/>
            <w:gridSpan w:val="2"/>
          </w:tcPr>
          <w:p>
            <w:pPr>
              <w:jc w:val="center"/>
              <w:ind w:left="275"/>
              <w:spacing w:after="0"/>
              <w:rPr>
                <w:sz w:val="20"/>
                <w:szCs w:val="20"/>
                <w:color w:val="auto"/>
              </w:rPr>
            </w:pPr>
            <w:r>
              <w:rPr>
                <w:rFonts w:ascii="Times New Roman" w:cs="Times New Roman" w:eastAsia="Times New Roman" w:hAnsi="Times New Roman"/>
                <w:sz w:val="17"/>
                <w:szCs w:val="17"/>
                <w:color w:val="0000FF"/>
                <w:w w:val="93"/>
              </w:rPr>
              <w:t>62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U.S. Private Securities Litigation Reform Act of 1995, Section 27A of the Securities Act of 1933, as amended, or the Securities Act, and Section 21E of the Securities Exchange Act of 1934, as amended, or the Exchange Act, which statements involve substantial risks and uncertainties. All statements other than statements of historical facts contained in this Quarterly Report on Form 10-Q, including, but not limited to, statements regarding or implying the Company’s expectations and intentions regarding: our future results of operations, financial condition, business strategy and plans, the completion or effects of the Asset Sale, making the Asset Sale Dividend to stockholders and the timing and amount thereof, efforts related to our anticipated Electronics Infrastructure Business, efforts related to liquidity (including use of existing debt and equity facilities, supplemental debt and equity financing opportunities, and strategic transactions we may pursue), effects of the convertible note Facility, sustainability related efforts, market growth, business models, objectives of management for future operations, and statements regarding the benefits and timing of the roll-out of new products and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and uncertainties, including the factors described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on Form 10-Q relate only to events as of the date on which the statements are made. We undertake no obligation to update or revise any forward-looking statements made in this Quarterly Report on Form 10-Q or to reflect new information or the occurrence of unanticipated events, except as required by applicable securities laws. We may not actually achieve the plans, intentions or expectations disclosed in or expressed by, and you should not place undue reliance on, our forward-looking statements. Our forward-looking statements do not reflect the potential impact of any future acquisitions, mergers, dispositions, joint ventures, or investments.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Unless the context otherwise requires, all references in this Quarterly Report on Form 10-Q to “we,” “us,” “our,” “our company,” and “Allbirds” refer to Allbirds, Inc. and its subsidiaries. The Allbirds design logo, “Allbirds,” and our other registered or common law trademarks, service marks, or trade names appearing in this Quarterly Report on Form 10-Q are the property of Allbirds, Inc. Other trade names, trademarks, and service marks used in this Quarterly Report on Form 10-Q are the property of their respective owners. Solely for convenience,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omitted the ® and ™ designations, as applicable, for the trademarks we name in this Quarterly Report on Form 10-Q.</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announce material information to the public through a variety of means, including filings with the Securities and Exchange Commission, press releases, public conference calls, our website (allbirds.com), the investor relations section of our website (ir.allbirds.com), our Instagram account (@allbirds), our X account (@allbirds), our LinkedIn account (linkedin.com/company/allbirds), and our Facebook page (@weareallbirds). We use these channels to communicate with investors and the public about our company, our products, and other matters. Therefore, we encourage investors, the media and others interested in our company to review the information we make public in these locations, as such information could be deemed to be material information. Information contained on, or that can be accessed through, our website or social media channels is not incorporated by reference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because our business is subject to numerous risks and uncertainties, as more fully described in our Annual Report on Form 10-K for the year ended December 31, 2025, with respect to the risks associated with our historical footwear business, and “Part II, Item 1A. Risk Factors” of this Quarterly Report on Form 10-Q, with respect to the Asset Sale, our anticipated Electronics Infrastructure Business and related matters. Below are some of these risks, any one of which could materially adversely affect our business, financial condition,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Risks Associated with our Historical Footwear Business </w:t>
      </w:r>
      <w:r>
        <w:rPr>
          <w:rFonts w:ascii="Times New Roman" w:cs="Times New Roman" w:eastAsia="Times New Roman" w:hAnsi="Times New Roman"/>
          <w:sz w:val="17"/>
          <w:szCs w:val="17"/>
          <w:color w:val="auto"/>
        </w:rPr>
        <w:t>(as more fully described in our Annual Report on Form 10-K for the year ended December 31, 2025)</w:t>
      </w:r>
    </w:p>
    <w:p>
      <w:pPr>
        <w:spacing w:after="0" w:line="16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net losses since inception and anticipate that we will continue to incur losses for the foreseeable future.</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require additional capital to support business growth, and this capital might be unavailable or might be available only by diluting existing stockholders.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successfully execute on our long-term growth strategy, including efforts to maintain or grow our current revenue levels, reduce our costs, or accurately forecast demand and supply for our products.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new customers, retain existing customers, or maintain or increase sales to customers, our business, financial condition, results of operations, and growth prospects will be harmed.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fluctuate significantly and our past operating results may not be a good indication of future performance.</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transition our international go-to-market strategy from a direct model to a distributor model may not be successful and may negatively impact our operating results and brand value.</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in our key markets may affect consumer purchases of discretionary items, which has affected and may continue to adversely affect demand for our products.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expose us to various risks, such as. foreign currency exchange rate fluctuations, tariffs or global trade wars, trade restrictions, shipping channel constraints, and changing tax laws.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maintain and enhance the value and reputation of our brand and/or counter any negative publicity, we may be unable to sell our products, which would harm our business and could materially adversely affect our financial condition and results of operations.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market and the size and resources of some of our competitors may allow them to compete more effectively than we can, which could result in a loss of our market share and a decrease in our net revenue and profitability.</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focus on using sustainable, high-quality materials and environmentally friendly manufacturing processes and supply chain practices may increase our cost of revenue and hinder our revenue growth.</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and increased focus by governments, organizations, customers, and investors on sustainability issues, including those related to climate change and socially responsible activities, may adversely affect our reputation, business, and financial results.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anticipate product trends and consumer preferences, or we fail in our technical and materials innovation to successfully develop and introduce new high-quality products, we may not be able to maintain or increase our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line="76" w:lineRule="exact"/>
        <w:rPr>
          <w:sz w:val="20"/>
          <w:szCs w:val="20"/>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utilize a range of marketing, advertising, and other initiatives to increase existing customers’ spend and to acquire new customers; if the costs of advertising or marketing increase, or if our initiatives fail to achieve their desired impact, we may be unable to grow the business profitably.</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the risk of manufacturer concentration and our suppliers’ and manufacturers’ ability to provide materials for, and to produce, our products.</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significant amount of long-lived assets, which are assessed for impairment whenever events or changes in circumstances indicate that their carrying amount may not be recoverable; additionally, we may never realize the full value of our long-lived assets, causing us to record material impairment charges.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company that operates retail stores, we are subject to various risks, including commercial real estate and labor and employment risks; additionally, we may be unable to successfully implement and expand our third-party distribution and retail arrangements, which could harm our results of operations.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maintain a strong community of engaged customers, including through the use of social media. We may be unable to maintain and enhance our reputation and brand if we experience negative publicity, or otherwise fail to meet our customers’ expectations.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results may be adversely affected if substantial investments in businesses and operations, including in our retail stores, fail to produce expected returns.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related to our ESG activities and disclosures, and our reputation and brand could be harmed if we fail to meet our public sustainability targets and goals.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contractors or our licensees’ contractors to comply with our supplier code of conduct, contractual obligations, local laws, and other standards could harm our business.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fluctuating cost of raw materials could increase our cost of revenue and cause our results of operations and financial condition to suffer.</w:t>
      </w:r>
    </w:p>
    <w:p>
      <w:pPr>
        <w:spacing w:after="0" w:line="165" w:lineRule="exact"/>
        <w:rPr>
          <w:rFonts w:ascii="Times New Roman" w:cs="Times New Roman" w:eastAsia="Times New Roman" w:hAnsi="Times New Roman"/>
          <w:sz w:val="17"/>
          <w:szCs w:val="17"/>
          <w:color w:val="auto"/>
        </w:rPr>
      </w:pPr>
    </w:p>
    <w:p>
      <w:pPr>
        <w:jc w:val="both"/>
        <w:ind w:left="620" w:hanging="307"/>
        <w:spacing w:after="0" w:line="28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protect our intellectual property rights, our trademark and other proprietary rights may conflict with the rights of others, and we may not be able to acquire, use, or maintain our marks and domain names, any of which could harm our brand, business, financial condition, and results of operations.</w:t>
      </w:r>
    </w:p>
    <w:p>
      <w:pPr>
        <w:spacing w:after="0" w:line="3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heavily on our information technology systems, as well as those of our third-party vendors, business partners, and service providers, for our business to effectively operate and to safeguard confidential information; any significant failure, inadequacy, interruption, or cybersecurity incident could adversely affect our business, financial condition, and operations.</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several unique risks as a result of our status as a Delaware public benefit corporation, or PBC, and certified B Corporation, or B Corp, including that our board of directors’ duty to balance various interests and our public benefit purpose may result in actions that do not maximize stockholder value.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satisfy all applicable requirements of Nasdaq (including minimum closing bid price requirements), our Class A common stock could be delisted, which could adversely affect the liquidity of our Class A common stock and cause the market price of our Class A common stock to decrease.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Risks Associated with Our Post-Asset Sale Business </w:t>
      </w:r>
      <w:r>
        <w:rPr>
          <w:rFonts w:ascii="Times New Roman" w:cs="Times New Roman" w:eastAsia="Times New Roman" w:hAnsi="Times New Roman"/>
          <w:sz w:val="17"/>
          <w:szCs w:val="17"/>
          <w:color w:val="auto"/>
        </w:rPr>
        <w:t>(as more fully described in and “Part II, Item 1A. Risk Factors” of this Quarterly Report on Form 10-Q)</w:t>
      </w:r>
    </w:p>
    <w:p>
      <w:pPr>
        <w:spacing w:after="0" w:line="169"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Sale may not be completed on the anticipated timeline or at all.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in the Asset Sale could materially impair our liquidity and ability to pay the Asset Sale Dividend.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proceeds from the Asset Sale are uncertain and may be materially less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Asset Sale is not completed, we may be left operating a legacy business that we have described as unsustainable and loss-making. In that circumstance, we may have significantly fewer strategic alternatives, may need financing on unfavorable terms or may be required to declare bankruptcy.</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securities litigation, derivative claims, books-and-records demands, fiduciary duty claims, appraisal-related claims, regulatory inquiries and other proceedings, any of which could delay the Asset Sale, increase costs, reduce funds available for distribution and impair our ability to pursue the post-closing business.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the Asset Sale closes, we may not be able to establish a viable continuing business in our anticipated Electronics Infrastructure Business.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 operating history as a company in the Electronics Infrastructure Business and our new business plan is speculative, unproven and subject to change.</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Asset Sale, we will have sold the assets of our historical business and will be operating a fundamentally different business. We will need to build or expand personnel, systems, controls, processes, customer relationships, vendor relationships, branding, market positioning and operating capabilities for a new industry.</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Electronics Infrastructure Business may never generate meaningful revenue, achieve profitability or produce positive cash flow. The business may require substantial capital expenditures, operating expenses and management attention before generating material revenue, if it generates revenue at all.</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Electronics Infrastructure Business will compete against larger, more experienced and better-capitalized companies and our limited resources may materially impair our ability to compete or execute our business plan.</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$5.25 million of the contemplated Facility is committed, and the remaining $44.75 million is solely at the option of the holders of the Convertible Notes. Stockholders should not assume that any additional tranches will be funded. Without funding beyond the initial committed amount, we may lack the capital necessary to purchase Electronics Assets, develop operations or pursue our business plan, and we may run out of cash.</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granted to holders of the Convertible Notes may limit our strategic and operational flexibility.</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turnover in senior management and on our Board after the closing of the Asset Sale, and may be unable to attract, retain and integrate personnel with the specialized expertise required for the Electronics Infrastructure Business.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enthusiasm for AI, GPUs and computing infrastructure may be temporary or disconnected from our ability to benefit.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change may reduce demand for the Electronics Assets we acquire.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GPU and semiconductor markets involve significant supply-chain concentration and dependency risks.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Electronics Infrastructure Business may be affected by export controls, tariffs, sanctions, AI regulation, energy regulation, environmental rules and data center-related laws.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build new financial reporting, disclosure, accounting, operational and internal control systems.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company costs may consume a disproportionate amount of our limited resources. SEC reporting, Nasdaq compliance, legal and accounting costs, audit requirements, insurance, governance and investor relations expenses may reduce capital available for the Electronics Infrastructure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line="76" w:lineRule="exact"/>
        <w:rPr>
          <w:sz w:val="20"/>
          <w:szCs w:val="20"/>
          <w:color w:val="auto"/>
        </w:rPr>
      </w:pPr>
    </w:p>
    <w:p>
      <w:pPr>
        <w:jc w:val="both"/>
        <w:ind w:left="620" w:hanging="307"/>
        <w:spacing w:after="0" w:line="27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common stock has been highly volatile, and recent or future increases in our stock price may not be sustained. The stock price may be influenced by speculation, momentum trading, short covering, media attention, social media commentary, options trading, AI-related investor enthusiasm and other factors unrelated to business fundamentals.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our Nasdaq listing. Following the Asset Sale, our business, market capitalization, stockholders’ equity and trading characteristics may change materially, and delisting would harm liquidity, market price and access to capital.</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may have difficulty valuing our Class A common stock after the Asset Sale. Our historical financial statements will reflect a materially different business, and the anticipated Electronics Infrastructure Business has limited or no operating history.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(UNAUDITED)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ALLBIRDS,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26,690</w:t>
            </w: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6,839</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Inventory</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38,875</w:t>
            </w: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9,712</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82,116</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equipment—net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10,513</w:t>
            </w: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13,051</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3,739</w:t>
            </w:r>
          </w:p>
        </w:tc>
        <w:tc>
          <w:tcPr>
            <w:tcW w:w="0" w:type="dxa"/>
            <w:vAlign w:val="bottom"/>
          </w:tcPr>
          <w:p>
            <w:pPr>
              <w:spacing w:after="0"/>
              <w:rPr>
                <w:sz w:val="1"/>
                <w:szCs w:val="1"/>
                <w:color w:val="auto"/>
              </w:rPr>
            </w:pPr>
          </w:p>
        </w:tc>
      </w:tr>
      <w:tr>
        <w:trPr>
          <w:trHeight w:val="202"/>
        </w:trPr>
        <w:tc>
          <w:tcPr>
            <w:tcW w:w="8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109,419</w:t>
            </w:r>
          </w:p>
        </w:tc>
        <w:tc>
          <w:tcPr>
            <w:tcW w:w="0" w:type="dxa"/>
            <w:vAlign w:val="bottom"/>
          </w:tcPr>
          <w:p>
            <w:pPr>
              <w:spacing w:after="0"/>
              <w:rPr>
                <w:sz w:val="1"/>
                <w:szCs w:val="1"/>
                <w:color w:val="auto"/>
              </w:rPr>
            </w:pPr>
          </w:p>
        </w:tc>
      </w:tr>
      <w:tr>
        <w:trPr>
          <w:trHeight w:val="81"/>
        </w:trPr>
        <w:tc>
          <w:tcPr>
            <w:tcW w:w="8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8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83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17,768</w:t>
            </w: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14,401</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lease 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6,777</w:t>
            </w: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40,642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Non-current lease liabilities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15,492</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17,371</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32,863</w:t>
            </w:r>
          </w:p>
        </w:tc>
        <w:tc>
          <w:tcPr>
            <w:tcW w:w="0" w:type="dxa"/>
            <w:vAlign w:val="bottom"/>
          </w:tcPr>
          <w:p>
            <w:pPr>
              <w:spacing w:after="0"/>
              <w:rPr>
                <w:sz w:val="1"/>
                <w:szCs w:val="1"/>
                <w:color w:val="auto"/>
              </w:rPr>
            </w:pPr>
          </w:p>
        </w:tc>
      </w:tr>
      <w:tr>
        <w:trPr>
          <w:trHeight w:val="199"/>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73,505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11)</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8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34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Class A Common Stock, $0.0001 par value; 2,000,000,000 shares authorized as of March 31, 2026 and December 31, 2025;</w:t>
            </w:r>
          </w:p>
        </w:tc>
        <w:tc>
          <w:tcPr>
            <w:tcW w:w="2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6,220,835 and 6,176,841 shares issued and outstanding as of March 31, 2026 and December 31, 2025, respectively</w:t>
            </w:r>
          </w:p>
        </w:tc>
        <w:tc>
          <w:tcPr>
            <w:tcW w:w="2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Class B Common Stock, $0.0001 par value; 200,000,000 shares authorized as of March 31, 2026 and December 31, 2025; 2,540,391</w:t>
            </w:r>
          </w:p>
        </w:tc>
        <w:tc>
          <w:tcPr>
            <w:tcW w:w="2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2,542,340 shares issued and outstanding as of March 31, 2026 and December 31, 2025, respectively</w:t>
            </w:r>
          </w:p>
        </w:tc>
        <w:tc>
          <w:tcPr>
            <w:tcW w:w="2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Treasury stock (10,999 shares as of March 31, 2026 and no shares as of December 31, 2025)</w:t>
            </w:r>
          </w:p>
        </w:tc>
        <w:tc>
          <w:tcPr>
            <w:tcW w:w="2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601,587</w:t>
            </w:r>
          </w:p>
        </w:tc>
        <w:tc>
          <w:tcPr>
            <w:tcW w:w="0" w:type="dxa"/>
            <w:vAlign w:val="bottom"/>
          </w:tcPr>
          <w:p>
            <w:pPr>
              <w:spacing w:after="0"/>
              <w:rPr>
                <w:sz w:val="1"/>
                <w:szCs w:val="1"/>
                <w:color w:val="auto"/>
              </w:rPr>
            </w:pPr>
          </w:p>
        </w:tc>
      </w:tr>
      <w:tr>
        <w:trPr>
          <w:trHeight w:val="203"/>
        </w:trPr>
        <w:tc>
          <w:tcPr>
            <w:tcW w:w="8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(3,874)</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(561,800)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35,914</w:t>
            </w:r>
          </w:p>
        </w:tc>
        <w:tc>
          <w:tcPr>
            <w:tcW w:w="0" w:type="dxa"/>
            <w:vAlign w:val="bottom"/>
          </w:tcPr>
          <w:p>
            <w:pPr>
              <w:spacing w:after="0"/>
              <w:rPr>
                <w:sz w:val="1"/>
                <w:szCs w:val="1"/>
                <w:color w:val="auto"/>
              </w:rPr>
            </w:pPr>
          </w:p>
        </w:tc>
      </w:tr>
      <w:tr>
        <w:trPr>
          <w:trHeight w:val="73"/>
        </w:trPr>
        <w:tc>
          <w:tcPr>
            <w:tcW w:w="83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109,419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34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Table of Contents</w:t>
            </w:r>
          </w:p>
        </w:tc>
        <w:tc>
          <w:tcPr>
            <w:tcW w:w="42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ALLBIRDS, INC.</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7540" w:type="dxa"/>
            <w:vAlign w:val="bottom"/>
            <w:gridSpan w:val="5"/>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4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32,114</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17,714</w:t>
            </w:r>
          </w:p>
        </w:tc>
        <w:tc>
          <w:tcPr>
            <w:tcW w:w="0" w:type="dxa"/>
            <w:vAlign w:val="bottom"/>
          </w:tcPr>
          <w:p>
            <w:pPr>
              <w:spacing w:after="0"/>
              <w:rPr>
                <w:sz w:val="1"/>
                <w:szCs w:val="1"/>
                <w:color w:val="auto"/>
              </w:rPr>
            </w:pPr>
          </w:p>
        </w:tc>
      </w:tr>
      <w:tr>
        <w:trPr>
          <w:trHeight w:val="212"/>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14,400</w:t>
            </w:r>
          </w:p>
        </w:tc>
        <w:tc>
          <w:tcPr>
            <w:tcW w:w="0" w:type="dxa"/>
            <w:vAlign w:val="bottom"/>
          </w:tcPr>
          <w:p>
            <w:pPr>
              <w:spacing w:after="0"/>
              <w:rPr>
                <w:sz w:val="1"/>
                <w:szCs w:val="1"/>
                <w:color w:val="auto"/>
              </w:rPr>
            </w:pPr>
          </w:p>
        </w:tc>
      </w:tr>
      <w:tr>
        <w:trPr>
          <w:trHeight w:val="219"/>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w:t>
            </w: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w:t>
            </w:r>
          </w:p>
        </w:tc>
        <w:tc>
          <w:tcPr>
            <w:tcW w:w="0" w:type="dxa"/>
            <w:vAlign w:val="bottom"/>
          </w:tcPr>
          <w:p>
            <w:pPr>
              <w:spacing w:after="0"/>
              <w:rPr>
                <w:sz w:val="1"/>
                <w:szCs w:val="1"/>
                <w:color w:val="auto"/>
              </w:rPr>
            </w:pPr>
          </w:p>
        </w:tc>
      </w:tr>
      <w:tr>
        <w:trPr>
          <w:trHeight w:val="219"/>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Marketing expense</w:t>
            </w: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 expense</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7"/>
                <w:szCs w:val="17"/>
                <w:color w:val="auto"/>
              </w:rPr>
              <w:t>Restructuring expense</w:t>
            </w: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w:t>
            </w:r>
          </w:p>
        </w:tc>
        <w:tc>
          <w:tcPr>
            <w:tcW w:w="4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37,230</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Loss from operations</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(22,830)</w:t>
            </w: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0" w:type="dxa"/>
            <w:vAlign w:val="bottom"/>
          </w:tcPr>
          <w:p>
            <w:pPr>
              <w:spacing w:after="0"/>
              <w:rPr>
                <w:sz w:val="1"/>
                <w:szCs w:val="1"/>
                <w:color w:val="auto"/>
              </w:rPr>
            </w:pPr>
          </w:p>
        </w:tc>
      </w:tr>
      <w:tr>
        <w:trPr>
          <w:trHeight w:val="212"/>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(21,809)</w:t>
            </w: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gridSpan w:val="3"/>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data:</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80" w:type="dxa"/>
            <w:vAlign w:val="bottom"/>
            <w:gridSpan w:val="4"/>
            <w:shd w:val="clear" w:color="auto" w:fill="CCEEFF"/>
          </w:tcPr>
          <w:p>
            <w:pPr>
              <w:ind w:left="160"/>
              <w:spacing w:after="0" w:line="133" w:lineRule="exact"/>
              <w:rPr>
                <w:sz w:val="20"/>
                <w:szCs w:val="20"/>
                <w:color w:val="auto"/>
              </w:rPr>
            </w:pPr>
            <w:r>
              <w:rPr>
                <w:rFonts w:ascii="Times New Roman" w:cs="Times New Roman" w:eastAsia="Times New Roman" w:hAnsi="Times New Roman"/>
                <w:sz w:val="15"/>
                <w:szCs w:val="15"/>
                <w:color w:val="auto"/>
              </w:rPr>
              <w:t>Weighted-average shares used in computing net loss per share attributable to common stockholders, basic</w:t>
            </w: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8,736,862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8,020,013</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diluted</w:t>
            </w:r>
          </w:p>
        </w:tc>
        <w:tc>
          <w:tcPr>
            <w:tcW w:w="4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gridSpan w:val="3"/>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4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(21,185)</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168275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60"/>
          </w:cols>
          <w:pgMar w:left="720" w:top="130" w:right="7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5"/>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ALLBIRDS, INC.</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Contents</w:t>
            </w:r>
          </w:p>
        </w:tc>
        <w:tc>
          <w:tcPr>
            <w:tcW w:w="40" w:type="dxa"/>
            <w:vAlign w:val="bottom"/>
            <w:tcBorders>
              <w:bottom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5280" w:type="dxa"/>
            <w:vAlign w:val="bottom"/>
            <w:gridSpan w:val="13"/>
            <w:vMerge w:val="restart"/>
          </w:tcPr>
          <w:p>
            <w:pPr>
              <w:jc w:val="center"/>
              <w:ind w:left="18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80" w:type="dxa"/>
            <w:vAlign w:val="bottom"/>
            <w:gridSpan w:val="13"/>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gridSpan w:val="8"/>
          </w:tcPr>
          <w:p>
            <w:pPr>
              <w:jc w:val="center"/>
              <w:ind w:left="183"/>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gridSpan w:val="8"/>
          </w:tcPr>
          <w:p>
            <w:pPr>
              <w:jc w:val="center"/>
              <w:ind w:left="203"/>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left="4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5"/>
                <w:szCs w:val="5"/>
                <w:color w:val="auto"/>
              </w:rPr>
            </w:pPr>
          </w:p>
        </w:tc>
        <w:tc>
          <w:tcPr>
            <w:tcW w:w="980" w:type="dxa"/>
            <w:vAlign w:val="bottom"/>
            <w:gridSpan w:val="2"/>
            <w:vMerge w:val="restart"/>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04"/>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December 31,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5,456,072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2,542,365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(484,517)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101,685</w:t>
            </w:r>
          </w:p>
        </w:tc>
        <w:tc>
          <w:tcPr>
            <w:tcW w:w="0" w:type="dxa"/>
            <w:vAlign w:val="bottom"/>
          </w:tcPr>
          <w:p>
            <w:pPr>
              <w:spacing w:after="0"/>
              <w:rPr>
                <w:sz w:val="1"/>
                <w:szCs w:val="1"/>
                <w:color w:val="auto"/>
              </w:rPr>
            </w:pPr>
          </w:p>
        </w:tc>
      </w:tr>
      <w:tr>
        <w:trPr>
          <w:trHeight w:val="203"/>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9"/>
        </w:trPr>
        <w:tc>
          <w:tcPr>
            <w:tcW w:w="2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56,904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284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5"/>
                <w:szCs w:val="15"/>
                <w:color w:val="auto"/>
              </w:rPr>
              <w:t>Issuance of common stock under</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3"/>
                <w:szCs w:val="13"/>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84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06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40" w:type="dxa"/>
            <w:vAlign w:val="bottom"/>
            <w:gridSpan w:val="4"/>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color w:val="auto"/>
              </w:rPr>
              <w:t>Conversion of Class B shares into Class 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8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common stock</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w:t>
            </w:r>
          </w:p>
        </w:tc>
        <w:tc>
          <w:tcPr>
            <w:tcW w:w="0" w:type="dxa"/>
            <w:vAlign w:val="bottom"/>
          </w:tcPr>
          <w:p>
            <w:pPr>
              <w:spacing w:after="0"/>
              <w:rPr>
                <w:sz w:val="1"/>
                <w:szCs w:val="1"/>
                <w:color w:val="auto"/>
              </w:rPr>
            </w:pPr>
          </w:p>
        </w:tc>
      </w:tr>
      <w:tr>
        <w:trPr>
          <w:trHeight w:val="209"/>
        </w:trPr>
        <w:tc>
          <w:tcPr>
            <w:tcW w:w="2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Comprehensive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(21,875)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(21,875)</w:t>
            </w:r>
          </w:p>
        </w:tc>
        <w:tc>
          <w:tcPr>
            <w:tcW w:w="0" w:type="dxa"/>
            <w:vAlign w:val="bottom"/>
          </w:tcPr>
          <w:p>
            <w:pPr>
              <w:spacing w:after="0"/>
              <w:rPr>
                <w:sz w:val="1"/>
                <w:szCs w:val="1"/>
                <w:color w:val="auto"/>
              </w:rPr>
            </w:pPr>
          </w:p>
        </w:tc>
      </w:tr>
      <w:tr>
        <w:trPr>
          <w:trHeight w:val="222"/>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March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5,515,268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2,542,365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594,204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82,822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5"/>
                <w:szCs w:val="5"/>
                <w:color w:val="auto"/>
              </w:rPr>
            </w:pPr>
          </w:p>
        </w:tc>
        <w:tc>
          <w:tcPr>
            <w:tcW w:w="980" w:type="dxa"/>
            <w:vAlign w:val="bottom"/>
            <w:gridSpan w:val="2"/>
            <w:vMerge w:val="restart"/>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05"/>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6,176,841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2,542,340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601,587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(561,800)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35,914</w:t>
            </w:r>
          </w:p>
        </w:tc>
        <w:tc>
          <w:tcPr>
            <w:tcW w:w="0" w:type="dxa"/>
            <w:vAlign w:val="bottom"/>
          </w:tcPr>
          <w:p>
            <w:pPr>
              <w:spacing w:after="0"/>
              <w:rPr>
                <w:sz w:val="1"/>
                <w:szCs w:val="1"/>
                <w:color w:val="auto"/>
              </w:rPr>
            </w:pPr>
          </w:p>
        </w:tc>
      </w:tr>
      <w:tr>
        <w:trPr>
          <w:trHeight w:val="203"/>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53,044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284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5"/>
                <w:szCs w:val="15"/>
                <w:color w:val="auto"/>
              </w:rPr>
              <w:t>Issuance of common stock under</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3"/>
                <w:szCs w:val="13"/>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84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06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gridSpan w:val="4"/>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Conversion of Class B shares into Class A</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8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common stock</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(10,999)</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840" w:type="dxa"/>
            <w:vAlign w:val="bottom"/>
            <w:gridSpan w:val="4"/>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Amortization of issuance costs under</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05"/>
        </w:trPr>
        <w:tc>
          <w:tcPr>
            <w:tcW w:w="28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public offerings</w:t>
            </w:r>
          </w:p>
        </w:tc>
        <w:tc>
          <w:tcPr>
            <w:tcW w:w="106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0" w:type="dxa"/>
            <w:vAlign w:val="bottom"/>
          </w:tcPr>
          <w:p>
            <w:pPr>
              <w:spacing w:after="0"/>
              <w:rPr>
                <w:sz w:val="1"/>
                <w:szCs w:val="1"/>
                <w:color w:val="auto"/>
              </w:rPr>
            </w:pPr>
          </w:p>
        </w:tc>
      </w:tr>
      <w:tr>
        <w:trPr>
          <w:trHeight w:val="209"/>
        </w:trPr>
        <w:tc>
          <w:tcPr>
            <w:tcW w:w="28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CCEEFF"/>
            </w:tcBorders>
            <w:gridSpan w:val="4"/>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(20,724)</w:t>
            </w:r>
          </w:p>
        </w:tc>
        <w:tc>
          <w:tcPr>
            <w:tcW w:w="0" w:type="dxa"/>
            <w:vAlign w:val="bottom"/>
          </w:tcPr>
          <w:p>
            <w:pPr>
              <w:spacing w:after="0"/>
              <w:rPr>
                <w:sz w:val="1"/>
                <w:szCs w:val="1"/>
                <w:color w:val="auto"/>
              </w:rPr>
            </w:pPr>
          </w:p>
        </w:tc>
      </w:tr>
      <w:tr>
        <w:trPr>
          <w:trHeight w:val="222"/>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March 31,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6,220,835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2,540,391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602,714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492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Table of Contents</w:t>
            </w:r>
          </w:p>
        </w:tc>
        <w:tc>
          <w:tcPr>
            <w:tcW w:w="3520" w:type="dxa"/>
            <w:vAlign w:val="bottom"/>
          </w:tcPr>
          <w:p>
            <w:pPr>
              <w:jc w:val="center"/>
              <w:ind w:right="2034"/>
              <w:spacing w:after="0"/>
              <w:rPr>
                <w:sz w:val="20"/>
                <w:szCs w:val="20"/>
                <w:color w:val="auto"/>
              </w:rPr>
            </w:pPr>
            <w:r>
              <w:rPr>
                <w:rFonts w:ascii="Times New Roman" w:cs="Times New Roman" w:eastAsia="Times New Roman" w:hAnsi="Times New Roman"/>
                <w:sz w:val="17"/>
                <w:szCs w:val="17"/>
                <w:b w:val="1"/>
                <w:bCs w:val="1"/>
                <w:color w:val="auto"/>
              </w:rPr>
              <w:t>ALLBIRDS, INC.</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20" w:type="dxa"/>
            <w:vAlign w:val="bottom"/>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6400" w:type="dxa"/>
            <w:vAlign w:val="bottom"/>
            <w:gridSpan w:val="2"/>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6"/>
        </w:trPr>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520" w:type="dxa"/>
            <w:vAlign w:val="bottom"/>
          </w:tcPr>
          <w:p>
            <w:pPr>
              <w:jc w:val="center"/>
              <w:ind w:right="20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7"/>
        </w:trPr>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520" w:type="dxa"/>
            <w:vAlign w:val="bottom"/>
          </w:tcPr>
          <w:p>
            <w:pPr>
              <w:jc w:val="center"/>
              <w:ind w:right="20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712"/>
        </w:trPr>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52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(21,875)</w:t>
            </w:r>
          </w:p>
        </w:tc>
      </w:tr>
      <w:tr>
        <w:trPr>
          <w:trHeight w:val="219"/>
        </w:trPr>
        <w:tc>
          <w:tcPr>
            <w:tcW w:w="8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49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w:t>
            </w:r>
          </w:p>
        </w:tc>
      </w:tr>
      <w:tr>
        <w:trPr>
          <w:trHeight w:val="219"/>
        </w:trPr>
        <w:tc>
          <w:tcPr>
            <w:tcW w:w="49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19"/>
        </w:trPr>
        <w:tc>
          <w:tcPr>
            <w:tcW w:w="49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 write-down</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r>
      <w:tr>
        <w:trPr>
          <w:trHeight w:val="219"/>
        </w:trPr>
        <w:tc>
          <w:tcPr>
            <w:tcW w:w="49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Impairment expense</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bad debt</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Gift card breakage</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19"/>
        </w:trPr>
        <w:tc>
          <w:tcPr>
            <w:tcW w:w="49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49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Accounts receivable</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r>
      <w:tr>
        <w:trPr>
          <w:trHeight w:val="219"/>
        </w:trPr>
        <w:tc>
          <w:tcPr>
            <w:tcW w:w="49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Inventory</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19"/>
        </w:trPr>
        <w:tc>
          <w:tcPr>
            <w:tcW w:w="49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w:t>
            </w:r>
          </w:p>
        </w:tc>
      </w:tr>
      <w:tr>
        <w:trPr>
          <w:trHeight w:val="219"/>
        </w:trPr>
        <w:tc>
          <w:tcPr>
            <w:tcW w:w="844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Operating lease right-of-use assets and current and noncurrent lease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r>
      <w:tr>
        <w:trPr>
          <w:trHeight w:val="219"/>
        </w:trPr>
        <w:tc>
          <w:tcPr>
            <w:tcW w:w="49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(10,379)</w:t>
            </w:r>
          </w:p>
        </w:tc>
      </w:tr>
      <w:tr>
        <w:trPr>
          <w:trHeight w:val="219"/>
        </w:trPr>
        <w:tc>
          <w:tcPr>
            <w:tcW w:w="49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Deferred revenue</w:t>
            </w:r>
          </w:p>
        </w:tc>
        <w:tc>
          <w:tcPr>
            <w:tcW w:w="3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12"/>
        </w:trPr>
        <w:tc>
          <w:tcPr>
            <w:tcW w:w="49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5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(27,883)</w:t>
            </w:r>
          </w:p>
        </w:tc>
      </w:tr>
      <w:tr>
        <w:trPr>
          <w:trHeight w:val="83"/>
        </w:trPr>
        <w:tc>
          <w:tcPr>
            <w:tcW w:w="8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880" w:type="dxa"/>
            <w:vAlign w:val="bottom"/>
            <w:shd w:val="clear" w:color="auto" w:fill="CCEEFF"/>
          </w:tcPr>
          <w:p>
            <w:pPr>
              <w:spacing w:after="0"/>
              <w:rPr>
                <w:sz w:val="7"/>
                <w:szCs w:val="7"/>
                <w:color w:val="auto"/>
              </w:rPr>
            </w:pPr>
          </w:p>
        </w:tc>
        <w:tc>
          <w:tcPr>
            <w:tcW w:w="3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21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Changes in security deposits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businesses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2"/>
        </w:trPr>
        <w:tc>
          <w:tcPr>
            <w:tcW w:w="492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83"/>
        </w:trPr>
        <w:tc>
          <w:tcPr>
            <w:tcW w:w="8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880" w:type="dxa"/>
            <w:vAlign w:val="bottom"/>
            <w:shd w:val="clear" w:color="auto" w:fill="CCEEFF"/>
          </w:tcPr>
          <w:p>
            <w:pPr>
              <w:spacing w:after="0"/>
              <w:rPr>
                <w:sz w:val="7"/>
                <w:szCs w:val="7"/>
                <w:color w:val="auto"/>
              </w:rPr>
            </w:pPr>
          </w:p>
        </w:tc>
        <w:tc>
          <w:tcPr>
            <w:tcW w:w="3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21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line of credit</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Payments on line of credit</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Taxes withheld and paid on employee stock awards</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4920" w:type="dxa"/>
            <w:vAlign w:val="bottom"/>
            <w:tcBorders>
              <w:top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83"/>
        </w:trPr>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19"/>
        </w:trPr>
        <w:tc>
          <w:tcPr>
            <w:tcW w:w="8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(27,674)</w:t>
            </w:r>
          </w:p>
        </w:tc>
      </w:tr>
      <w:tr>
        <w:trPr>
          <w:trHeight w:val="219"/>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cash—beginning of period</w:t>
            </w:r>
          </w:p>
        </w:tc>
        <w:tc>
          <w:tcPr>
            <w:tcW w:w="3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67,584</w:t>
            </w:r>
          </w:p>
        </w:tc>
      </w:tr>
      <w:tr>
        <w:trPr>
          <w:trHeight w:val="212"/>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cash—end of period</w:t>
            </w:r>
          </w:p>
        </w:tc>
        <w:tc>
          <w:tcPr>
            <w:tcW w:w="352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39,910</w:t>
            </w:r>
          </w:p>
        </w:tc>
      </w:tr>
      <w:tr>
        <w:trPr>
          <w:trHeight w:val="20"/>
        </w:trPr>
        <w:tc>
          <w:tcPr>
            <w:tcW w:w="8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9"/>
        </w:trPr>
        <w:tc>
          <w:tcPr>
            <w:tcW w:w="8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1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Cash paid for taxes</w:t>
            </w:r>
          </w:p>
        </w:tc>
        <w:tc>
          <w:tcPr>
            <w:tcW w:w="352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49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Purchase of property and equipment included in accounts payable</w:t>
            </w:r>
          </w:p>
        </w:tc>
        <w:tc>
          <w:tcPr>
            <w:tcW w:w="352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8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 included in capitalized internal-use software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3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494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Table of Contents</w:t>
            </w:r>
          </w:p>
        </w:tc>
        <w:tc>
          <w:tcPr>
            <w:tcW w:w="3780" w:type="dxa"/>
            <w:vAlign w:val="bottom"/>
            <w:gridSpan w:val="2"/>
          </w:tcPr>
          <w:p>
            <w:pPr>
              <w:jc w:val="center"/>
              <w:ind w:right="2334"/>
              <w:spacing w:after="0"/>
              <w:rPr>
                <w:sz w:val="20"/>
                <w:szCs w:val="20"/>
                <w:color w:val="auto"/>
              </w:rPr>
            </w:pPr>
            <w:r>
              <w:rPr>
                <w:rFonts w:ascii="Times New Roman" w:cs="Times New Roman" w:eastAsia="Times New Roman" w:hAnsi="Times New Roman"/>
                <w:sz w:val="17"/>
                <w:szCs w:val="17"/>
                <w:b w:val="1"/>
                <w:bCs w:val="1"/>
                <w:color w:val="auto"/>
              </w:rPr>
              <w:t>ALLBIRDS, INC.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20" w:type="dxa"/>
            <w:vAlign w:val="bottom"/>
          </w:tcPr>
          <w:p>
            <w:pPr>
              <w:spacing w:after="0"/>
              <w:rPr>
                <w:sz w:val="18"/>
                <w:szCs w:val="18"/>
                <w:color w:val="auto"/>
              </w:rPr>
            </w:pPr>
          </w:p>
        </w:tc>
        <w:tc>
          <w:tcPr>
            <w:tcW w:w="1220" w:type="dxa"/>
            <w:vAlign w:val="bottom"/>
            <w:tcBorders>
              <w:top w:val="single" w:sz="8" w:color="0000FF"/>
            </w:tcBorders>
          </w:tcPr>
          <w:p>
            <w:pPr>
              <w:spacing w:after="0"/>
              <w:rPr>
                <w:sz w:val="18"/>
                <w:szCs w:val="18"/>
                <w:color w:val="auto"/>
              </w:rPr>
            </w:pPr>
          </w:p>
        </w:tc>
        <w:tc>
          <w:tcPr>
            <w:tcW w:w="6680" w:type="dxa"/>
            <w:vAlign w:val="bottom"/>
            <w:gridSpan w:val="3"/>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6"/>
        </w:trPr>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780" w:type="dxa"/>
            <w:vAlign w:val="bottom"/>
            <w:gridSpan w:val="2"/>
          </w:tcPr>
          <w:p>
            <w:pPr>
              <w:jc w:val="center"/>
              <w:ind w:right="23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7"/>
        </w:trPr>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780" w:type="dxa"/>
            <w:vAlign w:val="bottom"/>
            <w:gridSpan w:val="2"/>
          </w:tcPr>
          <w:p>
            <w:pPr>
              <w:jc w:val="center"/>
              <w:ind w:right="23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712"/>
        </w:trPr>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9"/>
        </w:trPr>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49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7"/>
                <w:szCs w:val="17"/>
                <w:color w:val="auto"/>
              </w:rPr>
              <w:t>Restricted cash included in prepaid expenses and other current assets</w:t>
            </w:r>
          </w:p>
        </w:tc>
        <w:tc>
          <w:tcPr>
            <w:tcW w:w="3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37"/>
        </w:trPr>
        <w:tc>
          <w:tcPr>
            <w:tcW w:w="4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3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39,910</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20" w:hanging="617"/>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Allbirds, Inc. (“Allbirds” and, together with its wholly owned subsidiaries, the “Company,” “we,” or “our”) was incorporated in the state of Delaware on May 6, 2015. Headquartered in San Francisco, California, Allbirds has historically been a global lifestyle brand that innovates with sustainable materials to make better footwear and apparel products in a better way, while treading lighter on our planet. The majority of our revenue has historically been from sales directly to consumers via our digital and retail channels.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29, 2026, the Company entered into an Asset Purchase Agreement (“Asset Purchase Agreement”) with Allbirds IP LLC, an affiliate of American Exchange Group (the “Buyer”), pursuant to which Buyer will (a) acquire certain of the Company’s assets, including those related to intellectual property assets (including global trademarks, trade names, copyrights, patents, domain names, social media accounts, customer lists, and related IP), inventory, certain accounts receivable, and certain prepaid expenses (the “Purchase Assets,” all of which relate to the existing footwear business); and (b) assume certain liabilities, including those related to certain accounts payable, certain scheduled current liabilities, and intellectual property transfer costs and expenses, subject to certain exceptions (collectively, the foregoing, the “Asset Sale”). All of the assets and liabilities to be acquired and assumed pursuant to the Asset Sale relate to our existing footwear business.</w:t>
      </w:r>
    </w:p>
    <w:p>
      <w:pPr>
        <w:spacing w:after="0" w:line="1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Asset Purchase Agreement, Buyer will pay Allbirds an aggregate purchase price of $39.0 million upon the closing of the Asset Sale, subject to standard purchase price adjustments as set forth in the Asset Purchase Agreement, and less the amount of funds in escrow.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Asset Sale is expected to close in the second quarter of 2026, but the exact timing of the completion of the Asset Sale is not certain.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described in Note 13, we intend to continue operating Allbirds, Inc. after the Asset Sale.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w:t>
      </w:r>
    </w:p>
    <w:p>
      <w:pPr>
        <w:spacing w:after="0" w:line="118" w:lineRule="exact"/>
        <w:rPr>
          <w:sz w:val="20"/>
          <w:szCs w:val="20"/>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Basis of Preparation</w:t>
      </w:r>
      <w:r>
        <w:rPr>
          <w:rFonts w:ascii="Times New Roman" w:cs="Times New Roman" w:eastAsia="Times New Roman" w:hAnsi="Times New Roman"/>
          <w:sz w:val="17"/>
          <w:szCs w:val="17"/>
          <w:color w:val="auto"/>
        </w:rPr>
        <w:t>—The accompanying unaudited condensed consolidated financial statements have been presented in U.S. dollars and prepared in accordance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United States generally accepted accounting principles (“GAAP”) for interim financial information and applicable rules and regulations of the U.S. Securities and Exchange Commission (“SEC”) regarding interim financial information. Certain information and disclosures normally included in consolidated financial statements prepared in accordance with GAAP have been condensed or omitted. These unaudited condensed consolidated financial statements should be read in conjunction with the audited consolidated financial statements and accompanying notes contained in the Annual Report on Form 10-K for the fiscal year ended December 31, 2025, filed with the SEC on March 31, 2026 (“Form 10-K”).</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our opinion, the accompanying unaudited condensed interim financial statements include all adjustments, consisting of a normal recurring nature, which are necessary for a fair presentation of the financial position, operating results and cash flows for the periods presented. The condensed consolidated balance sheet as of December 31, 2025 has been derived from the audited financial statements at that date, but does not include all of the disclosures required by GAAP.</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elsewhere in these condensed consolidated financial statements and accompanying notes have been subject to rounding adjustments. As such, figures shown as totals in certain tables may not be the arithmetic aggregation of the figures that precede them, and figures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percentages in the text may not total 100% or, as applicable, when aggregated may not be the arithmetic aggregation of the percentages that precede them.</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Liquidity and Going Concern</w:t>
      </w:r>
      <w:r>
        <w:rPr>
          <w:rFonts w:ascii="Times New Roman" w:cs="Times New Roman" w:eastAsia="Times New Roman" w:hAnsi="Times New Roman"/>
          <w:sz w:val="17"/>
          <w:szCs w:val="17"/>
          <w:color w:val="auto"/>
        </w:rPr>
        <w:t>—Accounting Standards Codification (ASC) 205-40,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Presentation of Financial Statements - Going Concern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requires management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evaluate an entity’s ability to continue as a going concern for the twelve-month period following the date on which the financial statements are available for issuance. Such an evaluation indicated certain negative conditions and events that raise substantial doubt about the Company’s ability to continue as a going concern. During the three months ended March 31, 2026 and 2025, the Company incurred net losses of $20.7 million and $21.9 million, respectively and net cash used in operating activities in the three months ended March 31, 2026 was $12.1 million. As of March 31, 2026, the Company had $14.4 million in cash and cash equivalents. $17.4 million outstanding on its asset-based revolving credit facility (refer to Note 4, for further information). The Company expects to continue to incur net losses and negative cash flows from operating activities, and the Company does not expect to continue its existing footwear business operations following the completion of the Asset Sale (as defined in Note 1). Additionally, the cash flows for the Company's Asset Infrastructure Business are uncertain. If the Asset Sale is not completed for any reason and the Asset Infrastructure Business is not successful, we do not anticipate we would be able to meet our future liquidity needs without accessing additional capital or engaging in strategic transactions which are not within our control and are subject to various risks and uncertainties.</w:t>
      </w:r>
    </w:p>
    <w:p>
      <w:pPr>
        <w:spacing w:after="0" w:line="3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accompanying consolidated financial statements are prepared in accordance with generally accepted accounting principles applicable to a going concern, which contemplates the realization of assets and the satisfaction of liabilities in the normal course of business. The Company's unaudited consolidated financial statements have been prepared assuming that the Company will continue as a going concern and do not include any adjustments relating to the recoverability and classification of recorded asset amounts or the amounts and classification of liabilities that might result from the outcome of this uncertainty.</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r>
        <w:rPr>
          <w:rFonts w:ascii="Times New Roman" w:cs="Times New Roman" w:eastAsia="Times New Roman" w:hAnsi="Times New Roman"/>
          <w:sz w:val="17"/>
          <w:szCs w:val="17"/>
          <w:color w:val="auto"/>
        </w:rPr>
        <w:t>—The condensed consolidated financial statements include the accounts of Allbirds, Inc. and our wholly owned subsidiaries.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intercompany balances and transactions have been eliminated in consolidation.</w:t>
      </w:r>
    </w:p>
    <w:p>
      <w:pPr>
        <w:spacing w:after="0" w:line="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Use of Estimates</w:t>
      </w:r>
      <w:r>
        <w:rPr>
          <w:rFonts w:ascii="Times New Roman" w:cs="Times New Roman" w:eastAsia="Times New Roman" w:hAnsi="Times New Roman"/>
          <w:sz w:val="17"/>
          <w:szCs w:val="17"/>
          <w:color w:val="auto"/>
        </w:rPr>
        <w:t>—The preparation of financial statements in conformity with GAAP requires us to make estimates and assumptions that affect the reported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amounts of assets and liabilities at the date of the financial statements and reported amounts of revenue and expenses during the reporting period. Actual results could differ from these estimates.</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Risks and Uncertainties</w:t>
      </w:r>
      <w:r>
        <w:rPr>
          <w:rFonts w:ascii="Times New Roman" w:cs="Times New Roman" w:eastAsia="Times New Roman" w:hAnsi="Times New Roman"/>
          <w:sz w:val="17"/>
          <w:szCs w:val="17"/>
          <w:color w:val="auto"/>
        </w:rPr>
        <w:t>—We continue to monitor and respond to evolving developments about recent macroeconomic events, including elevated inflation,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Federal Reserve adjusting interest rates, bank failures, supply chain disruptions, fluctuations in currency exchange rates, tariffs, and geopolitical conflicts, which have led to economic uncertainty in the global economy. These macroeconomic conditions have had and are likely to continue to have adverse consequences on consumer spending, including the buying patterns of our customers and prospective customers. The conditions caused by the aforementioned recent macroeconomic events could affect the rate of consumer spending and could adversely affect demand for our products, lengthen our sales cycles, reduce the value of inventory, reduce expected spending from new customers, and affect our suppliers, all of which could adversely affect our business, results of operations, and financial condition.</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the date of the issuance of the financial statements, we are not aware of any specific event or circumstance related to the aforementioned macroeconomic events that would require us to update our estimates or judgments or adjust the carrying value of our assets or liabilities. Actual results could differ from those estimates and any such differences may be material to the consolidated financial statements.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Segments</w:t>
      </w:r>
      <w:r>
        <w:rPr>
          <w:rFonts w:ascii="Times New Roman" w:cs="Times New Roman" w:eastAsia="Times New Roman" w:hAnsi="Times New Roman"/>
          <w:sz w:val="17"/>
          <w:szCs w:val="17"/>
          <w:color w:val="auto"/>
        </w:rPr>
        <w:t>—We operate as one operating segment. Our Chief Executive Officer is our chief operating decision maker who evaluates performance and makes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decisions about allocating resources based on consolidated financial data. Refer to Note 7 for more information on our segments and geographic information.</w:t>
      </w:r>
    </w:p>
    <w:p>
      <w:pPr>
        <w:spacing w:after="0" w:line="10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r>
        <w:rPr>
          <w:rFonts w:ascii="Times New Roman" w:cs="Times New Roman" w:eastAsia="Times New Roman" w:hAnsi="Times New Roman"/>
          <w:sz w:val="17"/>
          <w:szCs w:val="17"/>
          <w:color w:val="auto"/>
        </w:rPr>
        <w:t>—Our reporting currency is the U.S. dollar. The functional currency for each subsidiary included in these condensed consolidated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statements that is domiciled outside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States is generally the applicable local currency of that country or the U.S. dollar. The translation of foreign currencies into U.S. dollars is performed for assets and liabilities using current foreign currency exchange rates in effect at the balance sheet date and for revenue and expense accounts using average foreign currency exchange rates during the period. Capital accounts are translated at historical foreign currency exchange rates. Translation gains and losses are included in stockholders’ equity as a component of accumulated other comprehensive income or loss. Adjustments that arise from foreign currency exchange rate changes on transactions denominated in a currency other than the functional currency are included in other income or expense on the condensed consolidated statements of operations and comprehensive loss.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r>
        <w:rPr>
          <w:rFonts w:ascii="Times New Roman" w:cs="Times New Roman" w:eastAsia="Times New Roman" w:hAnsi="Times New Roman"/>
          <w:sz w:val="17"/>
          <w:szCs w:val="17"/>
          <w:color w:val="auto"/>
        </w:rPr>
        <w:t>—We consider all highly liquid investments with an original maturity date of three months or less as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equivalents. Cash and cash equivalents are comprised primarily of domestic and foreign bank accounts and money market funds. These cash and cash equivalents are valued based on Level 1 inputs, which consist of quoted prices in active markets. We place our cash and cash equivalents with several high credit quality financial institutions which, at times, may be in excess of Federal Deposit Insurance Corporation (“FDIC”) insurance limits. We have not experienced any losses in such accounts and periodically evaluate the credit worthiness of the financial institutions. Our foreign bank accounts are not subject to FDIC insurance.</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Restricted cash serves as collateral for a bond with the United States Customs and Border Protection (“CBP”), which allows us to take possession of our inventory before all formalities with the CBP are completed for imported products. Restricted cash is included in prepaid expenses and other current assets on the condensed consolidated balance sheets.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Accounts Receivable</w:t>
      </w:r>
      <w:r>
        <w:rPr>
          <w:rFonts w:ascii="Times New Roman" w:cs="Times New Roman" w:eastAsia="Times New Roman" w:hAnsi="Times New Roman"/>
          <w:sz w:val="17"/>
          <w:szCs w:val="17"/>
          <w:color w:val="auto"/>
        </w:rPr>
        <w:t>—Accounts receivable consist primarily of amounts due from customers, which results from sales to customers including credit card deposits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transit at the balance sheet date, the majority of which are settled within two to three business days, and wholesale accounts receivable, which are settled per the terms of the sale. Wholesale account receivables, consisting of receivables from wholesale customers and third-party distributors, net of allowances, were $3.6 million and $6.0 million as of March 31, 2026 and December 31, 2025, respectively. Credit card receivables were $0.6 million and $0.7 million as of March 31, 2026 and December 31, 2025, respectively. Other receivables were $0.2 million and $0.1 million as of March 31, 2026 and December 31, 2025, respectively.</w:t>
      </w:r>
    </w:p>
    <w:p>
      <w:pPr>
        <w:spacing w:after="0" w:line="1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Inventory</w:t>
      </w:r>
      <w:r>
        <w:rPr>
          <w:rFonts w:ascii="Times New Roman" w:cs="Times New Roman" w:eastAsia="Times New Roman" w:hAnsi="Times New Roman"/>
          <w:sz w:val="17"/>
          <w:szCs w:val="17"/>
          <w:color w:val="auto"/>
        </w:rPr>
        <w:t>—Inventory consists of finished goods, stated at the lower of cost or net realizable value. We value our inventory using the weighted-average cost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method and include product costs from our suppliers, freight, import duties and other landing costs.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periodically review inventory and make write-downs as necessary to appropriately value end of life, slow-moving, damaged, and excess inventory. To determine if the value of inventory requires a write-down, we estimate the net realizable value of inventory by considering current and anticipated demand, customer preferences and buying trends, and the age of the merchandise. Inventory write-downs are recognized as cost of revenue in the condensed consolidated statements of operations and comprehensive loss. We recorded $0.7 million and $0.7 million of inventory write-downs for the three months ended March 31, 2026 and 2025, respectively</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Revenue Recognition</w:t>
      </w:r>
      <w:r>
        <w:rPr>
          <w:rFonts w:ascii="Times New Roman" w:cs="Times New Roman" w:eastAsia="Times New Roman" w:hAnsi="Times New Roman"/>
          <w:sz w:val="17"/>
          <w:szCs w:val="17"/>
          <w:color w:val="auto"/>
        </w:rPr>
        <w:t>—Our primary source of revenue is from sales of footwear and apparel products. In the normal course of business, payment may be collected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the customer prior to recognizing revenue and such cash receipts are included in deferred revenue in the consolidated balance sheets until control has transferred to the customer. As of March 31, 2026 and December 31, 2025, we had $0.3 million and $0.3 million in cash collections of purchases via our digital channel which had not yet shipped, respectively.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offer non-expiring gift cards and merchandise credits to our customers. Proceeds from the sale of gift cards are initially deferred and recognized within deferred revenue on the consolidated balance sheets, and are recognized as revenue when the product is received by the customer after the gift card has been tendered for payment. We recognize breakage revenue for the portion of gift card values that are not expected to be redeemed. In the first quarter of 2025, with more historical data available, we updated our breakage estimate to be based upon historical customer redemption patterns. As a result, in the first quarter of 2025, we recorded a change in accounting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relating to expected redemption of outstanding gift cards and recognized a cumulative adjustment which increased net revenues and gross profit and decreased net operating loss by approximately $1.9 million. Estimating future breakage rates requires judgment based on current and historical patterns of redemption and the actual breakage rates may vary from the estimate.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we had $1.3 million and $1.4 million, for each period, respectively, in gift card liabilities included in deferred revenue in the condensed consolidated balance sheets.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sales policy allows customers to return merchandise within 30 days of receipt for an exchange or refund. We record a reserve for estimated product returns, based upon historical returns, impact of seasonality, current economic and market trends, current business practices, and changes in customer demand and acceptance of our products, in each reporting period as an offsetting decrease of net revenue, with an increase to our sales-refund reserve in accrued expenses. We have also recorded a related inventory returns receivable, less expected costs to recover, in prepaid expenses and other current assets with an offsetting decrease to cost of revenue as of March 31, 2026 and December 31, 2025 in the condensed consolidated balance sheets.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Fair Value Measurements</w:t>
      </w:r>
      <w:r>
        <w:rPr>
          <w:rFonts w:ascii="Times New Roman" w:cs="Times New Roman" w:eastAsia="Times New Roman" w:hAnsi="Times New Roman"/>
          <w:sz w:val="17"/>
          <w:szCs w:val="17"/>
          <w:color w:val="auto"/>
        </w:rPr>
        <w:t>—Financial Accounting Standards Board (“FASB”) Accounting Standards Codification (“ASC”) 820, Fair Value Measurements,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defines fair value, establishes a framework for measuring fair value under GAAP, and enhances disclosures about fair value measurements. It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value hierarchy, which prioritizes the inputs used in measuring fair value as follows: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Level 1</w:t>
      </w:r>
      <w:r>
        <w:rPr>
          <w:rFonts w:ascii="Times New Roman" w:cs="Times New Roman" w:eastAsia="Times New Roman" w:hAnsi="Times New Roman"/>
          <w:sz w:val="17"/>
          <w:szCs w:val="17"/>
          <w:color w:val="auto"/>
        </w:rPr>
        <w:t>—Observable inputs, such as quoted prices in active markets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Level 2</w:t>
      </w:r>
      <w:r>
        <w:rPr>
          <w:rFonts w:ascii="Times New Roman" w:cs="Times New Roman" w:eastAsia="Times New Roman" w:hAnsi="Times New Roman"/>
          <w:sz w:val="17"/>
          <w:szCs w:val="17"/>
          <w:color w:val="auto"/>
        </w:rPr>
        <w:t>—Inputs other than the quoted prices in active markets that are observable either directly or indirectly</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Level 3</w:t>
      </w:r>
      <w:r>
        <w:rPr>
          <w:rFonts w:ascii="Times New Roman" w:cs="Times New Roman" w:eastAsia="Times New Roman" w:hAnsi="Times New Roman"/>
          <w:sz w:val="17"/>
          <w:szCs w:val="17"/>
          <w:color w:val="auto"/>
        </w:rPr>
        <w:t>—Unobservable inputs in which there is little or no market data, which requires us to develop our own assumptions.</w:t>
      </w:r>
    </w:p>
    <w:p>
      <w:pPr>
        <w:spacing w:after="0" w:line="171"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This hierarchy requires us to use observable market data, when available, and to minimize the use of unobservable inputs when determining fair value. We record cash and cash equivalents, accounts receivable, accounts payable, and accrued expenses at cost. The carrying values of these instruments approximate their fair value due to their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maturities. We hold certain assets that are required to be measured at fair value on both a recurring and non-recurring basis, which are outlined in Note 4, Fair Value Measurements.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r>
        <w:rPr>
          <w:rFonts w:ascii="Times New Roman" w:cs="Times New Roman" w:eastAsia="Times New Roman" w:hAnsi="Times New Roman"/>
          <w:sz w:val="17"/>
          <w:szCs w:val="17"/>
          <w:color w:val="auto"/>
        </w:rPr>
        <w:t>—We evaluate the recoverability of property and equipment, operating lease right-of-use assets, and identifiable intangible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with definite lives (“long-lived assets”) whenever events or changes in circumstances indicate that the carrying amount of an asset may not be recoverable. When a triggering event occurs, a test for recoverability is performed, comparing projected undiscounted future cash flows to the carrying value of the asset group. If the carrying amount of an asset group exceeds its estimated undiscounted net future cash flows, an impairment charge is recognized for the amount by which the carrying amount of the asset group exceeds its fair value.</w:t>
      </w:r>
    </w:p>
    <w:p>
      <w:pPr>
        <w:spacing w:after="0" w:line="1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Long-lived assets are reviewed for recoverability at the lowest level in which there are identifiable cash flows (“asset group”). We determined that our asset groupings are at the individual store level. The carrying amount of a store asset group includes stores’ operating lease right-of-use assets and property and equipment, which consists primarily of leasehold improvements. We evaluate corporate assets or other long-lived assets that are not store-specific at the consolidated level.</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determined that triggering events, including a current-period and history of operating cash flow losses, occurred during the first quarter of 2026 and required an impairment review of our long-lived assets and corporate asset group. Based on the results of our analysis, we recorded an impairment charge of $0.6 million related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right-of-use assets and $0.4 million related to property and equipment for the three months ended March 31, 2026.</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Restructuring Charges</w:t>
      </w:r>
      <w:r>
        <w:rPr>
          <w:rFonts w:ascii="Times New Roman" w:cs="Times New Roman" w:eastAsia="Times New Roman" w:hAnsi="Times New Roman"/>
          <w:sz w:val="17"/>
          <w:szCs w:val="17"/>
          <w:color w:val="auto"/>
        </w:rPr>
        <w:t>—In the first quarter of 2026, we announced the closure of our U.S. full price retail store fleet. As part of this effort, we have incurred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severance and other employee-related benefits, professional fees, and other related charges which are included within restructuring expense in the condensed consolidated statements of operations and comprehensive loss. We incurred $1.3 million and $— million in restructuring charges for the three months ended March 31, 2026 and 2025, respectively.</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Emerging Growth Company</w:t>
      </w:r>
      <w:r>
        <w:rPr>
          <w:rFonts w:ascii="Times New Roman" w:cs="Times New Roman" w:eastAsia="Times New Roman" w:hAnsi="Times New Roman"/>
          <w:sz w:val="17"/>
          <w:szCs w:val="17"/>
          <w:color w:val="auto"/>
        </w:rPr>
        <w:t>—As an “emerging growth company,” the Jumpstart Our Business Startups Act, or JOBS Act, allows us to delay adoption of new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revised accounting pronouncements applicable to public companies until such pronouncements are made applicable to private companies. For certain pronouncements, we have elected to use the adoption dates applicable to private companies. As a result, our financial statements may not be comparable to the financial statements of issuers who are required to comply with the effective date for new or revised accounting standards that are applicable to public companies.</w:t>
      </w:r>
    </w:p>
    <w:p>
      <w:pPr>
        <w:spacing w:after="0" w:line="1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Smaller Reporting Company</w:t>
      </w:r>
      <w:r>
        <w:rPr>
          <w:rFonts w:ascii="Times New Roman" w:cs="Times New Roman" w:eastAsia="Times New Roman" w:hAnsi="Times New Roman"/>
          <w:sz w:val="17"/>
          <w:szCs w:val="17"/>
          <w:color w:val="auto"/>
        </w:rPr>
        <w:t>—We are currently a “smaller reporting company,” as defined by Rule 12b-2 of the Exchange Act and therefore qualify for reduced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disclosure requirements for smaller reporting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Measurement of Credit Losses for Accounts Receivable and Contract Assets. ASU 2025-05 provides a practical expedient that permits entities to assume that conditions existing as of the balance sheet date remain unchanged over the life of the asset when estimating expected credit losses for current accounts receivable and current contract assets. ASU 2025-05 is effective for annual periods beginning after December 15, 2025, including interim periods within those annual periods. The Company adopted ASU 2025-05 as of January 1, 2026, and the adoption did not have a material impact on its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October 2023, the FASB issued ASU No. 2023-06, </w:t>
      </w:r>
      <w:r>
        <w:rPr>
          <w:rFonts w:ascii="Times New Roman" w:cs="Times New Roman" w:eastAsia="Times New Roman" w:hAnsi="Times New Roman"/>
          <w:sz w:val="17"/>
          <w:szCs w:val="17"/>
          <w:i w:val="1"/>
          <w:iCs w:val="1"/>
          <w:color w:val="auto"/>
        </w:rPr>
        <w:t>Disclosure Improvements: Codification Amendments in Response to the SEC’s Disclosure Update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Simplification Initiative</w:t>
      </w:r>
      <w:r>
        <w:rPr>
          <w:rFonts w:ascii="Times New Roman" w:cs="Times New Roman" w:eastAsia="Times New Roman" w:hAnsi="Times New Roman"/>
          <w:sz w:val="17"/>
          <w:szCs w:val="17"/>
          <w:color w:val="auto"/>
        </w:rPr>
        <w:t>, which amends the disclosure or presentation requirements of a variety of topics in the ASC in order to conform with certain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amendments in Release No. 33-10532, </w:t>
      </w:r>
      <w:r>
        <w:rPr>
          <w:rFonts w:ascii="Times New Roman" w:cs="Times New Roman" w:eastAsia="Times New Roman" w:hAnsi="Times New Roman"/>
          <w:sz w:val="17"/>
          <w:szCs w:val="17"/>
          <w:i w:val="1"/>
          <w:iCs w:val="1"/>
          <w:color w:val="auto"/>
        </w:rPr>
        <w:t>Disclosure Update and Simplification</w:t>
      </w:r>
      <w:r>
        <w:rPr>
          <w:rFonts w:ascii="Times New Roman" w:cs="Times New Roman" w:eastAsia="Times New Roman" w:hAnsi="Times New Roman"/>
          <w:sz w:val="17"/>
          <w:szCs w:val="17"/>
          <w:color w:val="auto"/>
        </w:rPr>
        <w:t>. The effective date for each amendment will be the date on which the SEC removes that related disclosure from its rules. However, if by June 30, 2027, the SEC has not removed the related disclosure from its regulations, the amendments will be removed from the Codification and not become effective. Early adoption is prohibited. We are evaluating the potential impact of this guidance on our consolidated financial statements and related disclosures.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Statement-Reporting Comprehensive Income-Expense Disaggregation Disclosures (Subtopic 220-40)</w:t>
      </w:r>
      <w:r>
        <w:rPr>
          <w:rFonts w:ascii="Times New Roman" w:cs="Times New Roman" w:eastAsia="Times New Roman" w:hAnsi="Times New Roman"/>
          <w:sz w:val="17"/>
          <w:szCs w:val="17"/>
          <w:color w:val="auto"/>
        </w:rPr>
        <w:t>. This ASU improves financial reporting by requiring that public business entities disclose additional information about specific expense categories in the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financial statements at interim and annual reporting periods. This ASU will be effective for annual periods beginning after December 15, 2026, for interim reporting periods beginning after December 15, 2027, with early adoption is permitted. We are evaluating the potential impact of this guidance on our consolidated financial statements and related disclosures.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Intangibles—Goodwill and Other—Internal-Use Software (Subtopic 350-40): Targeted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Accounting for Internal-Use Software. </w:t>
      </w:r>
      <w:r>
        <w:rPr>
          <w:rFonts w:ascii="Times New Roman" w:cs="Times New Roman" w:eastAsia="Times New Roman" w:hAnsi="Times New Roman"/>
          <w:sz w:val="17"/>
          <w:szCs w:val="17"/>
          <w:color w:val="auto"/>
        </w:rPr>
        <w:t>The amendments in this Update remove all references to prescriptive and sequential software development stages,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providing more consistent operability of software capitalization guidance. This ASU will be effective for annual periods beginning after December 15, 2027, for interim reporting periods beginning after December 15, 2027, with early adoption is permitted. We are evaluating the potential impact of this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w:t>
            </w:r>
          </w:p>
        </w:tc>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Balance Sheet Components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consisted of the following as of March 31, 2026 and December 31, 2025: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95"/>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0"/>
        </w:trPr>
        <w:tc>
          <w:tcPr>
            <w:tcW w:w="180" w:type="dxa"/>
            <w:vAlign w:val="bottom"/>
            <w:tcBorders>
              <w:bottom w:val="single" w:sz="8" w:color="CCEEFF"/>
            </w:tcBorders>
          </w:tcPr>
          <w:p>
            <w:pPr>
              <w:spacing w:after="0"/>
              <w:rPr>
                <w:sz w:val="16"/>
                <w:szCs w:val="16"/>
                <w:color w:val="auto"/>
              </w:rPr>
            </w:pPr>
          </w:p>
        </w:tc>
        <w:tc>
          <w:tcPr>
            <w:tcW w:w="7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40,525</w:t>
            </w:r>
          </w:p>
        </w:tc>
        <w:tc>
          <w:tcPr>
            <w:tcW w:w="0" w:type="dxa"/>
            <w:vAlign w:val="bottom"/>
          </w:tcPr>
          <w:p>
            <w:pPr>
              <w:spacing w:after="0"/>
              <w:rPr>
                <w:sz w:val="1"/>
                <w:szCs w:val="1"/>
                <w:color w:val="auto"/>
              </w:rPr>
            </w:pPr>
          </w:p>
        </w:tc>
      </w:tr>
      <w:tr>
        <w:trPr>
          <w:trHeight w:val="180"/>
        </w:trPr>
        <w:tc>
          <w:tcPr>
            <w:tcW w:w="80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Reserve to reduce inventories to net realizable value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0" w:type="dxa"/>
            <w:vAlign w:val="bottom"/>
          </w:tcPr>
          <w:p>
            <w:pPr>
              <w:spacing w:after="0"/>
              <w:rPr>
                <w:sz w:val="1"/>
                <w:szCs w:val="1"/>
                <w:color w:val="auto"/>
              </w:rPr>
            </w:pPr>
          </w:p>
        </w:tc>
      </w:tr>
      <w:tr>
        <w:trPr>
          <w:trHeight w:val="180"/>
        </w:trPr>
        <w:tc>
          <w:tcPr>
            <w:tcW w:w="180" w:type="dxa"/>
            <w:vAlign w:val="bottom"/>
            <w:tcBorders>
              <w:bottom w:val="single" w:sz="8" w:color="CCEEFF"/>
            </w:tcBorders>
          </w:tcPr>
          <w:p>
            <w:pPr>
              <w:spacing w:after="0"/>
              <w:rPr>
                <w:sz w:val="15"/>
                <w:szCs w:val="15"/>
                <w:color w:val="auto"/>
              </w:rPr>
            </w:pPr>
          </w:p>
        </w:tc>
        <w:tc>
          <w:tcPr>
            <w:tcW w:w="78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 w:type="dxa"/>
            <w:vAlign w:val="bottom"/>
            <w:shd w:val="clear" w:color="auto" w:fill="CCEEFF"/>
          </w:tcPr>
          <w:p>
            <w:pPr>
              <w:spacing w:after="0"/>
              <w:rPr>
                <w:sz w:val="19"/>
                <w:szCs w:val="19"/>
                <w:color w:val="auto"/>
              </w:rPr>
            </w:pPr>
          </w:p>
        </w:tc>
        <w:tc>
          <w:tcPr>
            <w:tcW w:w="78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inventory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38,875</w:t>
            </w:r>
          </w:p>
        </w:tc>
        <w:tc>
          <w:tcPr>
            <w:tcW w:w="0" w:type="dxa"/>
            <w:vAlign w:val="bottom"/>
          </w:tcPr>
          <w:p>
            <w:pPr>
              <w:spacing w:after="0"/>
              <w:rPr>
                <w:sz w:val="1"/>
                <w:szCs w:val="1"/>
                <w:color w:val="auto"/>
              </w:rPr>
            </w:pPr>
          </w:p>
        </w:tc>
      </w:tr>
      <w:tr>
        <w:trPr>
          <w:trHeight w:val="200"/>
        </w:trPr>
        <w:tc>
          <w:tcPr>
            <w:tcW w:w="180" w:type="dxa"/>
            <w:vAlign w:val="bottom"/>
            <w:tcBorders>
              <w:bottom w:val="single" w:sz="8" w:color="CCEEFF"/>
            </w:tcBorders>
            <w:shd w:val="clear" w:color="auto" w:fill="CCEEFF"/>
          </w:tcPr>
          <w:p>
            <w:pPr>
              <w:spacing w:after="0"/>
              <w:rPr>
                <w:sz w:val="17"/>
                <w:szCs w:val="17"/>
                <w:color w:val="auto"/>
              </w:rPr>
            </w:pPr>
          </w:p>
        </w:tc>
        <w:tc>
          <w:tcPr>
            <w:tcW w:w="7860" w:type="dxa"/>
            <w:vAlign w:val="bottom"/>
            <w:tcBorders>
              <w:bottom w:val="single" w:sz="8" w:color="CCEEFF"/>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8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consisted of the following as of March 31, 2026 and December 31, 2025: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0"/>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40" w:type="dxa"/>
            <w:vAlign w:val="bottom"/>
          </w:tcPr>
          <w:p>
            <w:pPr>
              <w:spacing w:after="0"/>
              <w:rPr>
                <w:sz w:val="15"/>
                <w:szCs w:val="15"/>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17,604</w:t>
            </w:r>
          </w:p>
        </w:tc>
        <w:tc>
          <w:tcPr>
            <w:tcW w:w="0" w:type="dxa"/>
            <w:vAlign w:val="bottom"/>
          </w:tcPr>
          <w:p>
            <w:pPr>
              <w:spacing w:after="0"/>
              <w:rPr>
                <w:sz w:val="1"/>
                <w:szCs w:val="1"/>
                <w:color w:val="auto"/>
              </w:rPr>
            </w:pPr>
          </w:p>
        </w:tc>
      </w:tr>
      <w:tr>
        <w:trPr>
          <w:trHeight w:val="21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10,695</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Internal-use software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27,667</w:t>
            </w:r>
          </w:p>
        </w:tc>
        <w:tc>
          <w:tcPr>
            <w:tcW w:w="0" w:type="dxa"/>
            <w:vAlign w:val="bottom"/>
          </w:tcPr>
          <w:p>
            <w:pPr>
              <w:spacing w:after="0"/>
              <w:rPr>
                <w:sz w:val="1"/>
                <w:szCs w:val="1"/>
                <w:color w:val="auto"/>
              </w:rPr>
            </w:pPr>
          </w:p>
        </w:tc>
      </w:tr>
      <w:tr>
        <w:trPr>
          <w:trHeight w:val="21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Computers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7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property and equipment - gross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58,750</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(48,237)</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7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property and equipment - net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for the three months ended March 31, 2026 and 2025 was $1.4 million and $1.9 million, respectively, recognized as selling, general, and administrative expense in the condensed consolidated statements of operations and comprehensive loss.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Impairment expense related to property and equipment for the three months ended March 31, 2026 and 2025 was $0.4 million and $0.0 million, respectively, and is recognized as impairment expense in the consolidated statement of operations and comprehensive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as of March 31, 2026 and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3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 returns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Security deposits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4,537</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37"/>
        </w:trPr>
        <w:tc>
          <w:tcPr>
            <w:tcW w:w="8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175895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0" w:name="page21"/>
    <w:bookmarkEnd w:id="20"/>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assets consisted of the following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040" w:type="dxa"/>
            <w:vAlign w:val="bottom"/>
          </w:tcPr>
          <w:p>
            <w:pPr>
              <w:spacing w:after="0"/>
              <w:rPr>
                <w:sz w:val="15"/>
                <w:szCs w:val="15"/>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Security deposits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assets</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as of March 31, 2026 and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5"/>
                <w:szCs w:val="15"/>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8"/>
        </w:trPr>
        <w:tc>
          <w:tcPr>
            <w:tcW w:w="8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Sales-refund reserve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payable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Employee-related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10,506</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20" w:hanging="617"/>
        <w:spacing w:after="0"/>
        <w:tabs>
          <w:tab w:leader="none" w:pos="6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June 30, 2025, we entered into a secured $50.0 million revolving credit agreement with Second Avenue Capital Partners LLC (the “Credit Agreement”). The borrowing capacity is subject to a borrowing base formula, and under the revolving credit facility may be increased up to an additional $25.0 million, subject to obtaining additional lender commitments and satisfying certain conditions. The Credit Agreement will mature on June 30, 2028.</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accrues at a variable rate equal to (i) the sum of the Term Secured Overnight Financing Rate (“SOFR”), plus (ii) 0.15%, plus (ii) a margin of 5.75% per annum. The commitment fee under the Credit Agreement is 0.45% per annum on the average daily unused portion of each lender’s commitment.</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affirmative covenants and negative covenants applicable to the Company and certain of its subsidiaries, including, among other things, restrictions on indebtedness, liens, investments, mergers, dispositions of assets, dividends and other distributions, minimum unrestricted cash, and minimum consolidated EBITDA. In addition, the Credit Agreement contains certain customary events of default including, but not limited to, failure to pay interest, principal and fees or other amounts when due, material misrepresentations or misstatements in any representation or warranty, covenant defaults, certain cross defaults to other material indebtedness, certain judgment defaults and events of bankruptcy or insolvency.</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Concurrently with entry into the Credit Agreement, we drew down $5.0 million on the revolving credit facility. The borrowings were used to, among other things, pay third-party debt issuance costs in the amount of $2.2 million.</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29, 2026, the Company and Second Avenue Capital Partners LLC entered into a Consent and First Amendment to Credit Agreement (the “First Amendment to Credit Agreement”). The First Amendment to Credit Agreement provides consent to the Company’s entry into the Asset Sale and amends the Credit Agreement dated as of June 30, 2025.</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First Amendment to Credit Agreement among other things, (i) lowers the minimum amount of Unrestricted Cash required to be held by the Company and its Subsidiaries to avoid the commencement of a Cash Dominion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Period from $10,000,000 to $7,500,000, (ii) increases the basket for Indebtedness consisting of reimbursement obligations in respect of the Existing Cash Collateralized Letter of Credit from $855,000 to $1,206,905, (iii) increases the unsecured Indebtedness basket from $2,500,000 to $11,000,000, (iv) extends the delivery date for the Consolidated Statements for the Fiscal Year ended December 31, 2025 from March 31, 2026 to April 15, 2026, (v) requires delivery by Borrower of certain financial and other information with respect to the Asset Sale, and (vi) replaces the Minimum Consolidated EBITDA financial covenant, and corresponding equity cure right, with a minimum Consolidated Liquidity financial covenant.</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period ended, the Company and Second Avenue Capital Partners LLC entered into a Second Amendment to Credit Agreement and Other Loan Documents. See Note 13, Subsequent Events.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we drew approximately $1.7 million on our revolving credit, inclusive of interest and fees and made payments of approximately $1.6 million. As of March 31, 2026, there was $17.4 million outstanding under the Credit Agreement.</w:t>
      </w:r>
    </w:p>
    <w:p>
      <w:pPr>
        <w:spacing w:after="0" w:line="96" w:lineRule="exact"/>
        <w:rPr>
          <w:sz w:val="20"/>
          <w:szCs w:val="20"/>
          <w:color w:val="auto"/>
        </w:rPr>
      </w:pPr>
    </w:p>
    <w:p>
      <w:pPr>
        <w:ind w:left="620" w:hanging="617"/>
        <w:spacing w:after="0"/>
        <w:tabs>
          <w:tab w:leader="none" w:pos="6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we were authorized to issue 2,220,000,000 shares of capital stock, comprised of 2,000,000,000 shares of Class A common stock, 200,000,000 shares of Class B common stock, and 20,000,000 shares of preferred stock. Each class had a par value of $0.0001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we had two classes of common stock: Class A common stock and Class B common stock. Each class had a par value of $0.0001.</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Voting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Holders of Class A common stock are entitled to one vote per share on all matters to be voted upon by the stockholders, and holders of Class B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 (i) if we were to seek to amend our amended and restated certificate of incorporation to increase or decrease the par value of a class of our capital stock, then that class would be required to vote separately to approve the proposed amendment; and (ii) 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 As a result, in these limited instances, the holders of a majority of the Class A common stock could defeat an amendment to our amended and restated certificate of incorporation. Our amended and restated certificate of incorporation does not provide for cumulative voting for the election of directors.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Dividends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Holders of Class A common stock and Class B common stock are entitled to ratably receive dividends if, as and when declared from time to time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Right to Receive Liquidation Distributions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Upon our dissolution, liquidation or winding-up, the assets legally available for distribution to our stockholders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0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Each share of our Class B common stock is convertible at any time at the option of the holder into one share of our Class A common stock.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 of our Class B common stock will convert automatically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one share of our Class A common stock upon any transfer, whether or not for value, except for (i) certain permitted transfers to entities, to the extent the transferor retains sole dispositive power and exclusive voting control with respect to the shares of Class B common stock, and (ii) certain other permitted transfers described in our amended and restated certificate of incorporation. In addition, if held by a natural person (including a natural person serving in a sole trustee capacity), each share of our Class B common stock will convert automatically into one share of our Class A common stock upon the death or incapacity of such natural person as described in our amended and restated certificate of incorporation. All outstanding shares of our Class B common stock will convert automatically into an equivalent number of shares of our Class A common stock upon the final conversion date, defined as the later of (a) the last trading day of the fiscal quarter immediately following the tenth anniversary of September 21, 2021 and (b) the date fixed by our board of directors that is no less than 61 days and no more than 180 days following the date on which the outstanding shares of Class B common stock first represent less than 10% of the aggregate number of the then outstanding shares of Class A common stock and Class B common stock (except if the final conversion date determined according to (a) or (b) would otherwise occur on or after the record date of any meeting of stockholders and before or at the time the vote at such meeting is taken, then the final conversion date shall instead be the last trading day of the fiscal quarter during which such vote was taken).</w:t>
      </w:r>
    </w:p>
    <w:p>
      <w:pPr>
        <w:spacing w:after="0" w:line="1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Other Matters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Class A common stock and Class B common stock have no preemptive rights pursuant to the terms of our amended and restated certificate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incorporation and our amended and restated bylaws. There are no redemption or sinking fund provisions applicable to the Class A common stock and Class B common stock. All outstanding shares of our Class A common stock are fully paid and non-assessable.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reserved for future issuance as of March 31, 2026 and December 31, 2025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040" w:type="dxa"/>
            <w:vAlign w:val="bottom"/>
          </w:tcPr>
          <w:p>
            <w:pPr>
              <w:spacing w:after="0"/>
              <w:rPr>
                <w:sz w:val="16"/>
                <w:szCs w:val="16"/>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8"/>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0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2015 Equity Incentive Plan:</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9"/>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253,405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267,085</w:t>
            </w: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Shares available for future option grants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 Equity Incentive Plan:</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220,342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220,342</w:t>
            </w:r>
          </w:p>
        </w:tc>
      </w:tr>
      <w:tr>
        <w:trPr>
          <w:trHeight w:val="219"/>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stock units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403,985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491,544</w:t>
            </w: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Performance stock units outstanding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83,780</w:t>
            </w:r>
          </w:p>
        </w:tc>
      </w:tr>
      <w:tr>
        <w:trPr>
          <w:trHeight w:val="219"/>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available for future grants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863,865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795,645</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Employee Stock Purchase Plan:</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Shares available for future grants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366,866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366,866</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2,158,538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2,225,262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Transaction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November 19, 2018, we received a promissory note from an employee in consideration for the early exercise of 11,000 shares of common stock options. The promissory note was secured by the underlying shares of common stock and bears interest at 2.86% per annum. In June 2023, the note was amended to no longer accrue interest after March 31, 2023 and to extend the maturity date to October 1, 2025. During the three months ended December 31, 2025, we entered into a settlement agreement pursuant to which we received a settlement payment of $50,000 in the fourth quarter of 2025 and all of the underlying shares of common stock were surrendered to the Company as treasury shares in the first quarter of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the note was a limited recourse note, the note receivables was not reflected in our consolidated balance sheets as of December 31, 2025.</w:t>
      </w:r>
    </w:p>
    <w:p>
      <w:pPr>
        <w:spacing w:after="0" w:line="161" w:lineRule="exact"/>
        <w:rPr>
          <w:sz w:val="20"/>
          <w:szCs w:val="20"/>
          <w:color w:val="auto"/>
        </w:rPr>
      </w:pPr>
    </w:p>
    <w:p>
      <w:pPr>
        <w:ind w:left="620" w:hanging="617"/>
        <w:spacing w:after="0"/>
        <w:tabs>
          <w:tab w:leader="none" w:pos="6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Segments and Geographic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reviewed by the chief operating decision maker (“CODM”) in deciding how to allocate resources to an individual segment and in assessing performance. Our CODM is our Chief Executive Officer. Specifically, our CODM uses consolidated net loss as the measure of segment profit or loss for evaluating performance and allocating resources through comparison of actual amounts against budgeted and prior period amounts. The measure of segment assets is reported on the consolidated balance sheets as “Total assets.” Therefore, we operate as one operating and reportable segment as our CODM reviews consolidated financial information in managing the business.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significant expense categories and other specified amounts included in consolidated net loss that are otherwise regularly provided to the CODM for the three months ended March 31, 2026 and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5"/>
                <w:szCs w:val="15"/>
                <w:color w:val="auto"/>
              </w:rPr>
            </w:pPr>
          </w:p>
        </w:tc>
      </w:tr>
      <w:tr>
        <w:trPr>
          <w:trHeight w:val="22"/>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1"/>
        </w:trPr>
        <w:tc>
          <w:tcPr>
            <w:tcW w:w="80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32,114</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17,714</w:t>
            </w:r>
          </w:p>
        </w:tc>
      </w:tr>
      <w:tr>
        <w:trPr>
          <w:trHeight w:val="219"/>
        </w:trPr>
        <w:tc>
          <w:tcPr>
            <w:tcW w:w="8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Selling, general, and administrative expense</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w:t>
            </w:r>
          </w:p>
        </w:tc>
      </w:tr>
      <w:tr>
        <w:trPr>
          <w:trHeight w:val="219"/>
        </w:trPr>
        <w:tc>
          <w:tcPr>
            <w:tcW w:w="80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Payroll and benefits expense</w:t>
            </w:r>
            <w:r>
              <w:rPr>
                <w:rFonts w:ascii="Times New Roman" w:cs="Times New Roman" w:eastAsia="Times New Roman" w:hAnsi="Times New Roman"/>
                <w:sz w:val="22"/>
                <w:szCs w:val="22"/>
                <w:color w:val="auto"/>
                <w:vertAlign w:val="superscript"/>
              </w:rPr>
              <w:t>2</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10,660</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19"/>
        </w:trPr>
        <w:tc>
          <w:tcPr>
            <w:tcW w:w="80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segment expenses—net</w:t>
            </w:r>
            <w:r>
              <w:rPr>
                <w:rFonts w:ascii="Times New Roman" w:cs="Times New Roman" w:eastAsia="Times New Roman" w:hAnsi="Times New Roman"/>
                <w:sz w:val="22"/>
                <w:szCs w:val="22"/>
                <w:color w:val="auto"/>
                <w:vertAlign w:val="superscript"/>
              </w:rPr>
              <w:t>3</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5,255</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4,322</w:t>
            </w:r>
          </w:p>
        </w:tc>
      </w:tr>
      <w:tr>
        <w:trPr>
          <w:trHeight w:val="237"/>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Segment and consolidated net loss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(20,724)</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(21,875)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Information</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disaggregates our net revenue by geographic area, where no individual foreign country contributed in excess of 10% of net revenue for the three months ended March 31, 2026 and 2025. We recognized the following net revenue by geographic area based on the primary shipping address of the customer for digital or third-party sales, and based on the physical store location for retail store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8040" w:type="dxa"/>
            <w:vAlign w:val="bottom"/>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25,625</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6,489</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net revenue</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32,114</w:t>
            </w:r>
          </w:p>
        </w:tc>
        <w:tc>
          <w:tcPr>
            <w:tcW w:w="0" w:type="dxa"/>
            <w:vAlign w:val="bottom"/>
          </w:tcPr>
          <w:p>
            <w:pPr>
              <w:spacing w:after="0"/>
              <w:rPr>
                <w:sz w:val="1"/>
                <w:szCs w:val="1"/>
                <w:color w:val="auto"/>
              </w:rPr>
            </w:pPr>
          </w:p>
        </w:tc>
      </w:tr>
      <w:tr>
        <w:trPr>
          <w:trHeight w:val="200"/>
        </w:trPr>
        <w:tc>
          <w:tcPr>
            <w:tcW w:w="8040" w:type="dxa"/>
            <w:vAlign w:val="bottom"/>
            <w:tcBorders>
              <w:bottom w:val="single" w:sz="8" w:color="CCEEFF"/>
            </w:tcBorders>
            <w:vMerge w:val="continue"/>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20" w:hanging="617"/>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2015 Equity Incentive Plan</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2015, we adopted the 2015 Equity Incentive Plan (the “2015 Plan”) that authorized the granting of options for shares of common stock. Our 2015 Plan provided for the grant of incentive stock options, non-statutory stock options, stock appreciation rights, restricted stock awards, restricted stock unit (“RSU”) awards, and other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1637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0" w:lineRule="exact"/>
        <w:rPr>
          <w:sz w:val="20"/>
          <w:szCs w:val="20"/>
          <w:color w:val="auto"/>
        </w:rPr>
      </w:pPr>
    </w:p>
    <w:p>
      <w:pPr>
        <w:ind w:firstLine="3"/>
        <w:spacing w:after="0" w:line="229" w:lineRule="auto"/>
        <w:tabs>
          <w:tab w:leader="none" w:pos="112"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Selling, general and administrative expense consists of third-party professional fees, information technology costs, fixed and variable lease costs for corporate offices and retail stores, software and license costs, legal fees, and other administrative costs associated with operating the business.</w:t>
      </w:r>
    </w:p>
    <w:p>
      <w:pPr>
        <w:spacing w:after="0" w:line="139" w:lineRule="exact"/>
        <w:rPr>
          <w:sz w:val="20"/>
          <w:szCs w:val="20"/>
          <w:color w:val="auto"/>
        </w:rPr>
      </w:pPr>
    </w:p>
    <w:p>
      <w:pPr>
        <w:ind w:firstLine="3"/>
        <w:spacing w:after="0" w:line="229" w:lineRule="auto"/>
        <w:tabs>
          <w:tab w:leader="none" w:pos="10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Payroll and benefits expense consists of salaries, benefits, and bonuses for our corporate and retail employees. Payroll and benefits expense excludes stock-based compensation expense.</w:t>
      </w:r>
    </w:p>
    <w:p>
      <w:pPr>
        <w:spacing w:after="0" w:line="139" w:lineRule="exact"/>
        <w:rPr>
          <w:sz w:val="20"/>
          <w:szCs w:val="20"/>
          <w:color w:val="auto"/>
        </w:rPr>
      </w:pPr>
    </w:p>
    <w:p>
      <w:pPr>
        <w:jc w:val="both"/>
        <w:ind w:firstLine="3"/>
        <w:spacing w:after="0" w:line="236" w:lineRule="auto"/>
        <w:tabs>
          <w:tab w:leader="none" w:pos="10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expenses—net consists of depreciation and amortization expense, stock-based compensation expense, impairment expense, restructuring expense, credit card and other payment processing fees, travel, meals, and entertainment expenses for employees and non-employees, net loss from the sales of businesses, other income and expense, interest income, and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awards. The 2015 Plan was terminated in connection with the adoption of the 2021 Equity Incentive Plan (the “2021 Plan”) in November 2021 in connection with the initial public offering (“IPO”), and we will not grant any additional awards under the 2015 Plan. However, the 2015 Plan will continue to govern the terms and conditions of the outstanding awards previously granted thereunder.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September 2021, our board of directors adopted, and our stockholders approved, the 2021 Plan, which became effective in connection with the IPO in November 2021. The 2021 Plan provides for the grant of incentive stock options, nonqualified stock options, stock appreciation rights, restricted stock awards, RSU awards, performance awards, and other forms of equity compensation. In addition, the number of shares of our Class A common stock reserved for issuance under the 2021 Plan will automatically increase on January 1 of each year for a period of 10 years, beginning on January 1, 2022 and continuing through (and including) January 1, 2031, in an amount equal to 4% of the total number of share of our common stock (both Class A and Class B) outstanding on December 31 of the immediately preceding year, except that, before the date of any such increase, our board of directors may determine that the increase for such year will be a lesser number of shares. Additionally, to the extent that any stock options outstanding under the 2015 Plan expire, terminate prior to exercise, are not issued because the award is settled in cash, are forfeited because of the failure to vest, or are reacquired or withheld (or not issued) to satisfy a tax withholding obligation or the purchase or exercise price, if any, the shares of Class B common stock reserved for issuance pursuant to such equity awards will become available for issuance as shares of Class A common stock under the 2021 Plan. The maximum number of shares of our Class A common stock that may be issued on the exercise of incentive stock options under the 2021 Plan is 100,000,000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September 2021, our board of directors adopted, and our stockholders approved, the 2021 Employee Stock Purchase Plan (the “2021 ESPP”), which became effective in connection with the IPO in November 2021. The 2021 ESPP authorizes the issuance of shares of Class A common stock pursuant to purchase rights granted to employees. The number of shares of our Class A common stock reserved for issuance will automatically increase on January 1 of each year for a period of 10 years, beginning on January 1, 2022 and continuing through (and including) January 1, 2031, by the lesser of (1) 1% of the total number of shares of our common stock (both Class A and Class B) outstanding on December 31 of the immediately preceding year and (2) 142,500 shares, except that, before the date of any such increase, our board of directors may determine that such increase will be less than the amount set forth in clauses (1) and (2). The price at which Class A common stock is purchased under the 2021 ESPP is equal to 85% of the fair market value of a share of our Class A common stock on the first day of the offering period, or the date of purchase, whichever is lower. Offering periods are six months long and begin on November 3 and May 3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5" w:name="page26"/>
    <w:bookmarkEnd w:id="25"/>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status of the 2015 Plan and 2021 Plan as of December 31, 2025 and March 31, 2026, and changes during the three month period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 Contractual</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13"/>
                <w:szCs w:val="13"/>
                <w:color w:val="auto"/>
              </w:rPr>
            </w:pP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640" w:type="dxa"/>
            <w:vAlign w:val="bottom"/>
            <w:gridSpan w:val="2"/>
          </w:tcPr>
          <w:p>
            <w:pPr>
              <w:jc w:val="center"/>
              <w:ind w:right="120"/>
              <w:spacing w:after="0" w:line="153"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56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w w:val="96"/>
              </w:rPr>
              <w:t>Aggregate Intrinsic Value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40" w:type="dxa"/>
            <w:vAlign w:val="bottom"/>
          </w:tcPr>
          <w:p>
            <w:pPr>
              <w:spacing w:after="0"/>
              <w:rPr>
                <w:sz w:val="16"/>
                <w:szCs w:val="16"/>
                <w:color w:val="auto"/>
              </w:rPr>
            </w:pP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473,747</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69.52</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at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473,747</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w:t>
            </w: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stock options granted for the three months ended March 31, 2026 and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ESPP</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weighted-average assumptions used in estimating the fair value of the 2021 ESPP grants for the following offering periods presented, using the Black Scholes option-pricing model: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Offering Period -</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Offering Period - May 3,</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Offering Period -</w:t>
            </w:r>
          </w:p>
        </w:tc>
        <w:tc>
          <w:tcPr>
            <w:tcW w:w="0" w:type="dxa"/>
            <w:vAlign w:val="bottom"/>
          </w:tcPr>
          <w:p>
            <w:pPr>
              <w:spacing w:after="0"/>
              <w:rPr>
                <w:sz w:val="1"/>
                <w:szCs w:val="1"/>
                <w:color w:val="auto"/>
              </w:rPr>
            </w:pPr>
          </w:p>
        </w:tc>
      </w:tr>
      <w:tr>
        <w:trPr>
          <w:trHeight w:val="155"/>
        </w:trPr>
        <w:tc>
          <w:tcPr>
            <w:tcW w:w="6080" w:type="dxa"/>
            <w:vAlign w:val="bottom"/>
          </w:tcPr>
          <w:p>
            <w:pPr>
              <w:spacing w:after="0"/>
              <w:rPr>
                <w:sz w:val="13"/>
                <w:szCs w:val="13"/>
                <w:color w:val="auto"/>
              </w:rPr>
            </w:pPr>
          </w:p>
        </w:tc>
        <w:tc>
          <w:tcPr>
            <w:tcW w:w="17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November 3, 2025 to May</w:t>
            </w:r>
          </w:p>
        </w:tc>
        <w:tc>
          <w:tcPr>
            <w:tcW w:w="1760" w:type="dxa"/>
            <w:vAlign w:val="bottom"/>
            <w:gridSpan w:val="2"/>
            <w:vMerge w:val="continue"/>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November 3, 2024 to May</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2, 2026</w:t>
            </w:r>
          </w:p>
        </w:tc>
        <w:tc>
          <w:tcPr>
            <w:tcW w:w="80" w:type="dxa"/>
            <w:vAlign w:val="bottom"/>
          </w:tcPr>
          <w:p>
            <w:pPr>
              <w:spacing w:after="0"/>
              <w:rPr>
                <w:sz w:val="16"/>
                <w:szCs w:val="16"/>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2025 to November 2,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2, 2025</w:t>
            </w:r>
          </w:p>
        </w:tc>
        <w:tc>
          <w:tcPr>
            <w:tcW w:w="0" w:type="dxa"/>
            <w:vAlign w:val="bottom"/>
          </w:tcPr>
          <w:p>
            <w:pPr>
              <w:spacing w:after="0"/>
              <w:rPr>
                <w:sz w:val="1"/>
                <w:szCs w:val="1"/>
                <w:color w:val="auto"/>
              </w:rPr>
            </w:pPr>
          </w:p>
        </w:tc>
      </w:tr>
      <w:tr>
        <w:trPr>
          <w:trHeight w:val="177"/>
        </w:trPr>
        <w:tc>
          <w:tcPr>
            <w:tcW w:w="60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4.30 %</w:t>
            </w:r>
          </w:p>
        </w:tc>
        <w:tc>
          <w:tcPr>
            <w:tcW w:w="0" w:type="dxa"/>
            <w:vAlign w:val="bottom"/>
          </w:tcPr>
          <w:p>
            <w:pPr>
              <w:spacing w:after="0"/>
              <w:rPr>
                <w:sz w:val="1"/>
                <w:szCs w:val="1"/>
                <w:color w:val="auto"/>
              </w:rPr>
            </w:pPr>
          </w:p>
        </w:tc>
      </w:tr>
      <w:tr>
        <w:trPr>
          <w:trHeight w:val="219"/>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37.13 %</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lives (years)</w:t>
            </w:r>
          </w:p>
        </w:tc>
        <w:tc>
          <w:tcPr>
            <w:tcW w:w="166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8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6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RSUs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After completion of the IPO in November 2021, we began granting RSUs to certain employees. The RSUs granted have service-based vesting conditions. The service-based vesting condition for awards to new employees is typically satisfied over four years, with a cliff vesting period of one year and continued vesting quarterly thereafter. The service-based vesting condition for refresh grants of RSUs to existing employees is typically satisfied over three years with vesting occurring quarterly, subject to the employees’ continued service to us. RSUs and the related stock-based compensation are recognized on a straight-line basis over the requisite service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 activity during the three months ended March 31, 2026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Table of Contents</w:t>
            </w:r>
          </w:p>
        </w:tc>
        <w:tc>
          <w:tcPr>
            <w:tcW w:w="702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ALLBIRDS, INC.</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02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20" w:type="dxa"/>
            <w:vAlign w:val="bottom"/>
            <w:gridSpan w:val="3"/>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1"/>
                <w:szCs w:val="11"/>
                <w:color w:val="auto"/>
              </w:rPr>
            </w:pPr>
          </w:p>
        </w:tc>
        <w:tc>
          <w:tcPr>
            <w:tcW w:w="1400" w:type="dxa"/>
            <w:vAlign w:val="bottom"/>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w w:val="98"/>
              </w:rPr>
              <w:t>Date Fair Value per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
        </w:trPr>
        <w:tc>
          <w:tcPr>
            <w:tcW w:w="2660" w:type="dxa"/>
            <w:vAlign w:val="bottom"/>
            <w:tcBorders>
              <w:bottom w:val="single" w:sz="8" w:color="CCEEFF"/>
            </w:tcBorders>
            <w:gridSpan w:val="3"/>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2025</w:t>
            </w:r>
          </w:p>
        </w:tc>
        <w:tc>
          <w:tcPr>
            <w:tcW w:w="5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491,544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53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6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Forfeited</w:t>
            </w:r>
          </w:p>
        </w:tc>
        <w:tc>
          <w:tcPr>
            <w:tcW w:w="6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0" w:type="dxa"/>
            <w:vAlign w:val="bottom"/>
          </w:tcPr>
          <w:p>
            <w:pPr>
              <w:spacing w:after="0"/>
              <w:rPr>
                <w:sz w:val="1"/>
                <w:szCs w:val="1"/>
                <w:color w:val="auto"/>
              </w:rPr>
            </w:pPr>
          </w:p>
        </w:tc>
      </w:tr>
      <w:tr>
        <w:trPr>
          <w:trHeight w:val="212"/>
        </w:trPr>
        <w:tc>
          <w:tcPr>
            <w:tcW w:w="26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2026</w:t>
            </w:r>
          </w:p>
        </w:tc>
        <w:tc>
          <w:tcPr>
            <w:tcW w:w="53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PSUs with Performance Conditions- </w:t>
      </w:r>
      <w:r>
        <w:rPr>
          <w:rFonts w:ascii="Times New Roman" w:cs="Times New Roman" w:eastAsia="Times New Roman" w:hAnsi="Times New Roman"/>
          <w:sz w:val="17"/>
          <w:szCs w:val="17"/>
          <w:color w:val="auto"/>
        </w:rPr>
        <w:t>In March 2025, we granted certain members of our executive leadership team 50 thousand RSUs with performance-based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service-based vesting conditions. The awards vest based on the achievement of certain financial performance targets as well as the individuals’ continued employment with us. The total grant date fair value of the awards was determined to be $0.3 million. Stock-based compensation expense is recognized on a straight-line basis over their requisite service periods, if it is probable the performance condition will be met. Stock-based compensation expense is reversed if the achievement of the performance condition does not occur.</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PSUs with Market Conditions- </w:t>
      </w:r>
      <w:r>
        <w:rPr>
          <w:rFonts w:ascii="Times New Roman" w:cs="Times New Roman" w:eastAsia="Times New Roman" w:hAnsi="Times New Roman"/>
          <w:sz w:val="17"/>
          <w:szCs w:val="17"/>
          <w:color w:val="auto"/>
        </w:rPr>
        <w:t>In March 2024, in connection with the appointment of Joe Vernachio as CEO, we granted him approximately 30 thousand RSUs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market-based and service-based vesting conditions (“PSUs”). The awards vest based on the achievement of certain stock price targets as well as his continued employment with us. The total grant date fair value of the awards was determined to be $0.1 million. In May 2022, we granted a target amount of approximately 40 thousand PSUs to certain executives. The total grant date fair value of the awards was determined to be $4.0 million, with each tranche of the awards representing approximately $1.3 million, $1.4 million, and $1.4 million of the total expense, respectively.</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Stock-based compensation expense is recognized on a straight-line basis over the requisite service period for each tranche, regardless of whether the market condition is ultimately satisfied. Stock-based compensation expense is not reversed if the achievement of the market condition does not occur. We recognized stock-based compensation expense of $0.0 million and $0.1 million for the three months ended March 31, 2026 and 2025,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 activity during the three months ended March 31, 2026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 Grant</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Target Number of Shares</w:t>
            </w:r>
          </w:p>
        </w:tc>
        <w:tc>
          <w:tcPr>
            <w:tcW w:w="160" w:type="dxa"/>
            <w:vAlign w:val="bottom"/>
          </w:tcPr>
          <w:p>
            <w:pPr>
              <w:spacing w:after="0"/>
              <w:rPr>
                <w:sz w:val="12"/>
                <w:szCs w:val="12"/>
                <w:color w:val="auto"/>
              </w:rPr>
            </w:pPr>
          </w:p>
        </w:tc>
        <w:tc>
          <w:tcPr>
            <w:tcW w:w="1400" w:type="dxa"/>
            <w:vAlign w:val="bottom"/>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 Value per</w:t>
            </w:r>
          </w:p>
        </w:tc>
        <w:tc>
          <w:tcPr>
            <w:tcW w:w="0" w:type="dxa"/>
            <w:vAlign w:val="bottom"/>
          </w:tcPr>
          <w:p>
            <w:pPr>
              <w:spacing w:after="0"/>
              <w:rPr>
                <w:sz w:val="1"/>
                <w:szCs w:val="1"/>
                <w:color w:val="auto"/>
              </w:rPr>
            </w:pPr>
          </w:p>
        </w:tc>
      </w:tr>
      <w:tr>
        <w:trPr>
          <w:trHeight w:val="187"/>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7"/>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9"/>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27" w:name="page28"/>
    <w:bookmarkEnd w:id="27"/>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Stock-based compensation expense, recognized as selling, general, and administrative expense in the condensed consolidated statements of operations and comprehensive loss for the three months ended March 31, 2026 and 2025, was comprised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net of amounts capitalized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March 31, 2026, there was approximately $0.6 million of total unrecognized compensation cost related to unvested stock options granted under both equity incentive plans, which is expected to be recognized over the weighted-average remaining vesting period of approximately 1.11 years. There was approximately $3.8 million of total unrecognized compensation cost related to outstanding unvested RSUs under the 2021 Plan, which is expected to be recognized over the weighted-average remaining vesting period of approximately 1.71 years. There was approximately $0.2 million in unrecognized compensation costs related to unvested PSU’s under the 2021 Plan, which is expected to be recognized over the weighted-average remaining vesting period of approximately 0.93 years.</w:t>
      </w:r>
    </w:p>
    <w:p>
      <w:pPr>
        <w:spacing w:after="0" w:line="119" w:lineRule="exact"/>
        <w:rPr>
          <w:sz w:val="20"/>
          <w:szCs w:val="20"/>
          <w:color w:val="auto"/>
        </w:rPr>
      </w:pPr>
    </w:p>
    <w:p>
      <w:pPr>
        <w:ind w:left="620" w:hanging="617"/>
        <w:spacing w:after="0"/>
        <w:tabs>
          <w:tab w:leader="none" w:pos="6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Income tax provision was $0.1 million and $0.1 million for the three months ended March 31, 2026 and March 31, 2025, respectively. The effective tax rate for the three months ended March 31, 2026 and March 31, 2025, was 0.4% and 0.3%, respectively. The change in provision for income taxes and effective tax rate is primarily due to mix of income by geography.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tax provision for income taxes for interim periods is determined using an estimate of its annual effective tax rate, adjusted for discrete items, if any. Each quarter, we update our estimate of the annual effective tax rate and make a year-to-date adjustment to the provision.</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we are subject to examination by various tax authorities for 2020 through 2025. During the quarter ending March 31, 2026, there was no material change to our uncertain tax positions. We do not expect our unrecognized tax positions to change significantly over the next twelve months.</w:t>
      </w:r>
    </w:p>
    <w:p>
      <w:pPr>
        <w:spacing w:after="0" w:line="96" w:lineRule="exact"/>
        <w:rPr>
          <w:sz w:val="20"/>
          <w:szCs w:val="20"/>
          <w:color w:val="auto"/>
        </w:rPr>
      </w:pPr>
    </w:p>
    <w:p>
      <w:pPr>
        <w:ind w:left="620" w:hanging="617"/>
        <w:spacing w:after="0"/>
        <w:tabs>
          <w:tab w:leader="none" w:pos="6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various claims and legal proceedings that arise in the ordinary course of our business activities. Although the outcome of any legal proceedings cannot be predicted with certainty, as of March 31, 2026, our ultimate liability, if any, is not expected to have a material effect on our financial position or operations.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On April 13, 2023, and on May 16, 2023, we and certain of our executive officers and directors were named as defendants in two substantially similar securities class action lawsuits, captioned </w:t>
      </w:r>
      <w:r>
        <w:rPr>
          <w:rFonts w:ascii="Times New Roman" w:cs="Times New Roman" w:eastAsia="Times New Roman" w:hAnsi="Times New Roman"/>
          <w:sz w:val="17"/>
          <w:szCs w:val="17"/>
          <w:i w:val="1"/>
          <w:iCs w:val="1"/>
          <w:color w:val="auto"/>
        </w:rPr>
        <w:t>Shnayder v. Allbirds, Inc., et al.</w:t>
      </w:r>
      <w:r>
        <w:rPr>
          <w:rFonts w:ascii="Times New Roman" w:cs="Times New Roman" w:eastAsia="Times New Roman" w:hAnsi="Times New Roman"/>
          <w:sz w:val="17"/>
          <w:szCs w:val="17"/>
          <w:color w:val="auto"/>
        </w:rPr>
        <w:t xml:space="preserve">, Case No. 23-cv-01811-AMO and </w:t>
      </w:r>
      <w:r>
        <w:rPr>
          <w:rFonts w:ascii="Times New Roman" w:cs="Times New Roman" w:eastAsia="Times New Roman" w:hAnsi="Times New Roman"/>
          <w:sz w:val="17"/>
          <w:szCs w:val="17"/>
          <w:i w:val="1"/>
          <w:iCs w:val="1"/>
          <w:color w:val="auto"/>
        </w:rPr>
        <w:t>Delgado v. Allbirds, Inc., et al.</w:t>
      </w:r>
      <w:r>
        <w:rPr>
          <w:rFonts w:ascii="Times New Roman" w:cs="Times New Roman" w:eastAsia="Times New Roman" w:hAnsi="Times New Roman"/>
          <w:sz w:val="17"/>
          <w:szCs w:val="17"/>
          <w:color w:val="auto"/>
        </w:rPr>
        <w:t>, Case No. 23-cv-02372-AMO, filed in the United States District Court for the Northern District of California. These lawsuits allege that we violated Sections 10(b) and 20(a) of the Securities and Exchange Act of 1934 and U.S. Securities and Exchange Commission Rule 10b-5, 17 C.F.R. § 240.10b-5, promulgated thereunder, and Sections 11 and 15 of the Securities Act of 1933 by making materially false and/or misleading statements about our business, operations and prospects. The plaintiffs seek damages in an unspecified amount. On July 25, 2023, the court entered an order consolidating the two cases, appointing lead plaintiffs, and approving lead plaintiffs’ selection of lead counsel. On September 15, 2023, lead plaintiffs filed a consolidated amended complaint against the same group of defendants and asserting the same claims. We filed a motion to dismiss the consolidated complaint, which the court granted on May 10, 2024, but provided plaintiffs leave to amend the complaint. A second amended complaint was filed on June 24, 2024.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filed a motion to dismiss the second amended complaint, which the court granted on June 21, 2025, but provided plaintiffs leave to amend the complaint. Plaintiffs filed a third amended complaint on July 14, 2025 and we filed a motion to dismiss on August 27, 2025 and full briefing was completed. On February 27, 2026, the consolidated action was dismissed with prejudice. Plaintiffs filed a notice of appeal with the Ninth Circuit on March 26, 2026. We intend to vigorously defend against this lawsuit.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October 3, 2023, we and certain of our executive officers and directors were named as defendants in a shareholder derivative suit, captioned </w:t>
      </w:r>
      <w:r>
        <w:rPr>
          <w:rFonts w:ascii="Times New Roman" w:cs="Times New Roman" w:eastAsia="Times New Roman" w:hAnsi="Times New Roman"/>
          <w:sz w:val="17"/>
          <w:szCs w:val="17"/>
          <w:i w:val="1"/>
          <w:iCs w:val="1"/>
          <w:color w:val="auto"/>
        </w:rPr>
        <w:t>Park v. Zwillinger</w:t>
      </w:r>
      <w:r>
        <w:rPr>
          <w:rFonts w:ascii="Times New Roman" w:cs="Times New Roman" w:eastAsia="Times New Roman" w:hAnsi="Times New Roman"/>
          <w:sz w:val="17"/>
          <w:szCs w:val="17"/>
          <w:color w:val="auto"/>
        </w:rPr>
        <w:t xml:space="preserve">, et al., Case No. 23-cv-01092-CFC, filed in the United States District Court for the District of Delaware. This lawsuit alleges violations of Section 14(a) of the Exchange Act, contribution under Section 21D of the Exchange Act, breach of fiduciary duties, and aiding and abetting based on allegations that are substantially similar to those asserted in the securities class action. On October 13, 2023, we and certain of our past and current executive officers and directors were named as defendants in a substantially similar shareholder derivative suit, captioned </w:t>
      </w:r>
      <w:r>
        <w:rPr>
          <w:rFonts w:ascii="Times New Roman" w:cs="Times New Roman" w:eastAsia="Times New Roman" w:hAnsi="Times New Roman"/>
          <w:sz w:val="17"/>
          <w:szCs w:val="17"/>
          <w:i w:val="1"/>
          <w:iCs w:val="1"/>
          <w:color w:val="auto"/>
        </w:rPr>
        <w:t>Junker v. Zwillinger</w:t>
      </w:r>
      <w:r>
        <w:rPr>
          <w:rFonts w:ascii="Times New Roman" w:cs="Times New Roman" w:eastAsia="Times New Roman" w:hAnsi="Times New Roman"/>
          <w:sz w:val="17"/>
          <w:szCs w:val="17"/>
          <w:color w:val="auto"/>
        </w:rPr>
        <w:t xml:space="preserve">, et al., Case No. 23-cv-01152-CFC, filed in the United States District Court for the District of Delaware. This lawsuit alleges breach of fiduciary duties, unjust enrichment, violations of Section 10(b) of the Exchange Act, contribution under Section 11(f) of the Securities Act and Section 21D of the Exchange Act, and waste of corporate assets based on allegations that are substantially similar to those asserted in the securities class action. These cases are currently stayed pending the outcome of the </w:t>
      </w:r>
      <w:r>
        <w:rPr>
          <w:rFonts w:ascii="Times New Roman" w:cs="Times New Roman" w:eastAsia="Times New Roman" w:hAnsi="Times New Roman"/>
          <w:sz w:val="17"/>
          <w:szCs w:val="17"/>
          <w:i w:val="1"/>
          <w:iCs w:val="1"/>
          <w:color w:val="auto"/>
        </w:rPr>
        <w:t>Shnayder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Delgado</w:t>
      </w:r>
      <w:r>
        <w:rPr>
          <w:rFonts w:ascii="Times New Roman" w:cs="Times New Roman" w:eastAsia="Times New Roman" w:hAnsi="Times New Roman"/>
          <w:sz w:val="17"/>
          <w:szCs w:val="17"/>
          <w:color w:val="auto"/>
        </w:rPr>
        <w:t xml:space="preserve"> cases. We intend to vigorously defend against these lawsuits.</w:t>
      </w:r>
    </w:p>
    <w:p>
      <w:pPr>
        <w:spacing w:after="0" w:line="120" w:lineRule="exact"/>
        <w:rPr>
          <w:sz w:val="20"/>
          <w:szCs w:val="20"/>
          <w:color w:val="auto"/>
        </w:rPr>
      </w:pPr>
    </w:p>
    <w:p>
      <w:pPr>
        <w:ind w:left="620" w:hanging="617"/>
        <w:spacing w:after="0"/>
        <w:tabs>
          <w:tab w:leader="none" w:pos="6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lease various office and retail spaces under non-cancelable operating leases with various expiration dates through fiscal 2032, certain of which contain renewal provisions. These renewal provisions are not reasonably certain to be exercised and therefore are not factored into the determination of lease payments. We have no lease agreements that are classified as finance leases.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components of lease costs, recognized as selling, general, and administrative expense in the condensed consolidated statements of operations and comprehensive loss, along with the weighted-average lease term and weighted-average discount rate for operating leases,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lease term and discount rate)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2,654</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costs</w:t>
            </w:r>
          </w:p>
        </w:tc>
        <w:tc>
          <w:tcPr>
            <w:tcW w:w="400" w:type="dxa"/>
            <w:vAlign w:val="bottom"/>
          </w:tcPr>
          <w:p>
            <w:pPr>
              <w:spacing w:after="0"/>
              <w:rPr>
                <w:sz w:val="19"/>
                <w:szCs w:val="19"/>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costs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1,099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2,630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1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204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204470"/>
                    </a:xfrm>
                    <a:prstGeom prst="rect">
                      <a:avLst/>
                    </a:prstGeom>
                    <a:noFill/>
                  </pic:spPr>
                </pic:pic>
              </a:graphicData>
            </a:graphic>
          </wp:anchor>
        </w:drawing>
      </w: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March 31,</w:t>
      </w: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6" w:lineRule="exact"/>
        <w:rPr>
          <w:sz w:val="20"/>
          <w:szCs w:val="20"/>
          <w:color w:val="auto"/>
        </w:rPr>
      </w:pPr>
    </w:p>
    <w:p>
      <w:pPr>
        <w:sectPr>
          <w:pgSz w:w="11900" w:h="16838" w:orient="portrait"/>
          <w:cols w:equalWidth="0" w:num="2">
            <w:col w:w="9380" w:space="720"/>
            <w:col w:w="1140"/>
          </w:cols>
          <w:pgMar w:left="320" w:top="17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9" w:name="page30"/>
    <w:bookmarkEnd w:id="29"/>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1,797</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4,111</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 of use assets obtained in exchange for lease liabilities</w:t>
            </w:r>
          </w:p>
        </w:tc>
        <w:tc>
          <w:tcPr>
            <w:tcW w:w="36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16</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assets given up for reduction of lease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(3,289)</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lease payments under non-cancelable operating leases with initial lease terms in excess of one year, included in our lease liabilities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3"/>
                <w:szCs w:val="13"/>
                <w:color w:val="auto"/>
              </w:rPr>
            </w:pPr>
          </w:p>
        </w:tc>
        <w:tc>
          <w:tcPr>
            <w:tcW w:w="13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87"/>
        </w:trPr>
        <w:tc>
          <w:tcPr>
            <w:tcW w:w="9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0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Fiscal year ended December 31,</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0" w:type="dxa"/>
            <w:vAlign w:val="bottom"/>
          </w:tcPr>
          <w:p>
            <w:pPr>
              <w:spacing w:after="0"/>
              <w:rPr>
                <w:sz w:val="1"/>
                <w:szCs w:val="1"/>
                <w:color w:val="auto"/>
              </w:rPr>
            </w:pP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0" w:type="dxa"/>
            <w:vAlign w:val="bottom"/>
          </w:tcPr>
          <w:p>
            <w:pPr>
              <w:spacing w:after="0"/>
              <w:rPr>
                <w:sz w:val="1"/>
                <w:szCs w:val="1"/>
                <w:color w:val="auto"/>
              </w:rPr>
            </w:pP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0" w:type="dxa"/>
            <w:vAlign w:val="bottom"/>
          </w:tcPr>
          <w:p>
            <w:pPr>
              <w:spacing w:after="0"/>
              <w:rPr>
                <w:sz w:val="1"/>
                <w:szCs w:val="1"/>
                <w:color w:val="auto"/>
              </w:rPr>
            </w:pPr>
          </w:p>
        </w:tc>
      </w:tr>
      <w:tr>
        <w:trPr>
          <w:trHeight w:val="21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undiscounted operating lease payments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17,487</w:t>
            </w:r>
          </w:p>
        </w:tc>
        <w:tc>
          <w:tcPr>
            <w:tcW w:w="0" w:type="dxa"/>
            <w:vAlign w:val="bottom"/>
          </w:tcPr>
          <w:p>
            <w:pPr>
              <w:spacing w:after="0"/>
              <w:rPr>
                <w:sz w:val="1"/>
                <w:szCs w:val="1"/>
                <w:color w:val="auto"/>
              </w:rPr>
            </w:pP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discount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0" w:type="dxa"/>
            <w:vAlign w:val="bottom"/>
          </w:tcPr>
          <w:p>
            <w:pPr>
              <w:spacing w:after="0"/>
              <w:rPr>
                <w:sz w:val="1"/>
                <w:szCs w:val="1"/>
                <w:color w:val="auto"/>
              </w:rPr>
            </w:pPr>
          </w:p>
        </w:tc>
      </w:tr>
      <w:tr>
        <w:trPr>
          <w:trHeight w:val="212"/>
        </w:trPr>
        <w:tc>
          <w:tcPr>
            <w:tcW w:w="9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15,822</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hanging="597"/>
        <w:spacing w:after="0"/>
        <w:tabs>
          <w:tab w:leader="none" w:pos="6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compute net loss per share using the two-class method required for participating securities and multiple classes of common stock. The two-class method requires net income or loss be allocated between common stock and participating securities based upon their respective rights to receive dividends as if all income or loss for the period had been distributed. The rights, including the liquidation and dividend rights and sharing of losses of the Class A common stock and Class B common stock are identical, other than voting, transfer, and conversion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attributable to common stockholders for the three months ended March 31, 2026 and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0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Denominator: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0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Weighted-average shares used in computing net loss per share attributable to common stockholders, basic and</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8,736,862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8,020,013</w:t>
            </w:r>
          </w:p>
        </w:tc>
        <w:tc>
          <w:tcPr>
            <w:tcW w:w="0" w:type="dxa"/>
            <w:vAlign w:val="bottom"/>
          </w:tcPr>
          <w:p>
            <w:pPr>
              <w:spacing w:after="0"/>
              <w:rPr>
                <w:sz w:val="1"/>
                <w:szCs w:val="1"/>
                <w:color w:val="auto"/>
              </w:rPr>
            </w:pPr>
          </w:p>
        </w:tc>
      </w:tr>
      <w:tr>
        <w:trPr>
          <w:trHeight w:val="206"/>
        </w:trPr>
        <w:tc>
          <w:tcPr>
            <w:tcW w:w="80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shares of preferred stock and common stock were excluded from the computation of diluted net loss per share attributable to common stockholders for the periods presented, because including them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473,747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545,833</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 ESPP</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13,549</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502,472</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PSUs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95,873</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anti-dilutive securities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935,745</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1,157,727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20" w:hanging="617"/>
        <w:spacing w:after="0"/>
        <w:tabs>
          <w:tab w:leader="none" w:pos="62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Benefit Plan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sponsor a 401(k) defined contribution plan covering eligible employees who elect to participate. We are allowed to make discretionary profit sharing and matching contributions as defined in the plan and as approved by our board of directors. No discretionary profit-sharing contributions were made for the three months ended March 31, 2026 and 2025. We made $0.2 million and $0.2 million matching contributions for the three months ended March 31, 2026 and 2025, respectively. We have no intention to terminate the plan.</w:t>
      </w:r>
    </w:p>
    <w:p>
      <w:pPr>
        <w:spacing w:after="0" w:line="116" w:lineRule="exact"/>
        <w:rPr>
          <w:sz w:val="20"/>
          <w:szCs w:val="20"/>
          <w:color w:val="auto"/>
        </w:rPr>
      </w:pPr>
    </w:p>
    <w:p>
      <w:pPr>
        <w:ind w:left="620" w:hanging="617"/>
        <w:spacing w:after="0"/>
        <w:tabs>
          <w:tab w:leader="none" w:pos="6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Subsequent to period end, we determined that we intend to continue operating Allbirds, Inc. after the Asset Sale (as defined in Note 1).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Facility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Securities Purchase Agreement</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14, 2026, the Company entered into a Securities Purchase Agreement, which was amended and restated on April 19, 2026 (the “A&amp;R Purchase Agreement”), pursuant to which the Company agreed to issue and sell to the holder of the Convertible Notes senior secured convertible notes in an aggregate original principal amount of up to $50.0 million (the “Convertible Notes”), convertible into shares of the Company’s Class A common stock (the “Facility”). The proceeds of the Facility are anticipated to be used primarily for the purchase of Electronics Assets by a newly formed wholly owned subsidiary of the Company (the “Lessor”) and the costs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private placements. The A&amp;R Purchase Agreement contains customary representations, warranties and covenants. Pursuant to the A&amp;R Purchase Agreement, for the twenty-four months immediately following the date on which the Convertible Notes are first issued, the holders of the Convertible Notes have the right to co-invest for at least 55% of any of the Company’s future financing deals on the same terms with other investors.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GPU Lease</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Using proceeds from the initial tranche of the Convertible Notes, the Company, through the Lessor, has purchased server equipment utilizing current-generation NVIDIA Blackwell GPUs (the “Purchased GPU Assets”). Simultaneously, the Lessor entered into an approximately $2.75 million, three-year lease agreement with a subsidiary of QumulusAI, Inc. (the “Lessee”) for the Purchased GPU Assets, with an end-of-term purchase option provided to the Lessee.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Convertible Notes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the initial closing, $3.25 million in aggregate principal amount of Convertible Notes was issued on April 19, 2026. The remaining Convertible Notes, if issued, will be issued in multiple closings. An additional $2.0 million in aggregate principal amount of Convertible Notes will be issued subject to the satisfaction of customary conditions and the required stockholder approval. The remaining additional tranches, in an aggregate principal amount of up to $44.75 million in Convertible Notes, may be sold solely at the option of the holders of the Convertible Notes.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Unless earlier converted, or redeemed, the Convertible Notes will mature on the second anniversary of the date of issuance (the “Maturity Date”), and we are required to pay, on the Maturity Date, all outstanding principal, accrued and unpaid interest and accrued and unpaid late charges on such principal and interest, if any.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Convertible Notes bear interest at the rate of 12.0% per annum which (a) will commence accruing on the date of issuance, (b) will be computed on the basis of a 360-day year and twelve 30-day months and (c) will be payable, subject to the satisfaction of customary equity conditions, in shares of our Class A common stock or, at our option, in cash, in arrears on the first calendar day of each calendar quarter, commencing on the three month anniversary of the issuance date (each an “Interest Date”). If a holder elects to convert or redeem all or any portion of a Convertible Note prior to the Maturity Date, all accrued and unpaid interest on the amount being converted or redeemed will also be payable. The Convertible Notes are issued with a 5% original issue discount. We are required to pay a late charge not in excess of 17% on any amount of principal or other amounts that are not paid when due.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Convertible Notes will be senior secured obligations of the Company (subject only to certain permitted indebtedness, including the indebtedness of the Company and certain of its subsidiaries under the Amended Credit Agreement (as defined herein) to be paid in full concurrently with the closing of the Asset Sale), which will be secured by the Electronics Assets, and upon the closing of the Asset Sale, all the other assets of the Company and its subsidiaries. Subject to the foregoing, until such date no Convertible Notes remain outstanding, all payments due under the Convertible Notes will be senior to all of our other indebtedness and other indebtedness of any of our subsidiaries.</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Convertible Notes may convert all, or any part, of the outstanding principal of the Convertible Notes, together with accrued and unpaid interest, any make-whole amount and any late charges thereon, at any time, at such holder’s option, into our Class A common stock at the then-applicable “Conversion Price.” 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ind w:left="20"/>
        <w:spacing w:after="0"/>
        <w:tabs>
          <w:tab w:leader="none" w:pos="52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b w:val="1"/>
          <w:bCs w:val="1"/>
          <w:color w:val="auto"/>
        </w:rPr>
        <w:t>ALLBIRDS, INC.</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6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 Matters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19, 2026, the Company and Second Avenue Capital Partners LLC entered into a Second Amendment to Credit Agreement. The Second Amendment to Credit Agreement among other things, amends the Existing Credit Agreement to expressly permit the Company to enter into the A&amp;R Purchase Agreement, Issue the Convertible Notes and the grant liens on the Company’s assets (including on the Electronics Assets) in favor of the holder of the Convertible Notes.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Second Amendment to Credit Agreement, on April 19, 2026, the Company, Second Avenue Capital Partners LLC, the holder of the Convertible Notes and the Lessor entered into a Subordination Agreement, to among other things, provide for the subordination of (i) the Company’s obligations to the holder of the Convertible Notes arising under the Facility to all of the Company’s obligations owing to the Agent arising under Amended Credit Agreement and (ii) the holder of the Convertible Notes security interests in the Company’s assets and property (other than the Company’s equity in the Lessor) to all of the Agent’s security interests in the Company’s assets and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ATM Matters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28, 2026, the Company entered into a Class A Common Stock Sales Agreement (the “Sales Agreement”) with Chardan Capital Markets LLC (“Chardan”), to sell shares of its Class A common stock (the “ATM Shares”), from time to time, through an “at the market offering” program under which Chardan, acting as sales agent or principal (including through its affiliates), will offer and sell the ATM Shares. The sales, if any, of the ATM Shares made under the Sales Agreement will be made by any method permitted by law deemed to be an “at the market offering” as defined in Rule 415 promulgated under the Securities Act of 1933, as amended. The Sales Agreement replaces that certain Class A Common Stock Sales Agreement, dated June 30, 2025, between the Company and TD Securities (USA) LLC.</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will pay Chardan a commission rate of up to 3% of the aggregate gross proceeds from each sale of ATM Shares. The Company will also reimburse Chardan for certain specified expenses in connection with the Sales Agreement. The Sales Agreement contains customary representations and warranties and conditions to the sale of the ATM Shares.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is not obligated to sell any of the ATM Shares under the Sales Agreement and may at any time suspend sales thereunder. The Sales Agreement may be terminated by either the Company or Chardan with 10 days notice, or earlier under certain circumstances.</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ATM Shares will be issued pursuant to the Company’s shelf registration statement on Form S-3 (File No. 333-288434) filed by the Company with the SEC on June 30, 2025, and declared effective by the SEC on July 10, 2025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Company filed a prospectus supplement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Supplement</w:t>
      </w:r>
      <w:r>
        <w:rPr>
          <w:rFonts w:ascii="Times New Roman" w:cs="Times New Roman" w:eastAsia="Times New Roman" w:hAnsi="Times New Roman"/>
          <w:sz w:val="17"/>
          <w:szCs w:val="17"/>
          <w:color w:val="auto"/>
        </w:rPr>
        <w:t>”), dated April 29, 2026, to the Registration Statement with the SEC in connection with the offer and sale of the ATM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risks and uncertainties that could cause or contribute to such differences include, but are not limited to, those identified below, and those discussed in the sections titled “Risk Factors” included under Part II, Item 1A below and“Risk Factors” included in Part I, Item 1A of our Annual Report on Form 10-K for the fiscal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Allbirds has historically been a lifestyle footwear and apparel brand. As of March 31, 2026, we generated our revenue via sales of footwear and apparel products, primarily through our direct business, a digitally-led vertical retail distribution strategy. We generally market directly to consumers via our localized digital platform. During the quarter ended March 31, 2026, we closed our remaining full-price retail stores in the United States, and as of March 31, 2026, continued to operate two outlet stores in the United States and two full-price stores in London. In addition to our direct business, we selectively partner with third parties, including distributors and retailers, to sell our products through their channels, which helps us reach more consumers and increase brand awareness.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2026 and 2025:</w:t>
      </w:r>
    </w:p>
    <w:p>
      <w:pPr>
        <w:spacing w:after="0" w:line="165"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generated net revenue of $22.3 million and $32.1 million for the three months ended March 31, 2026 and 2025, respectively.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gross margin was 27.8% and 44.8% for the three months ended March 31, 2026 and 2025, respectively.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generated net loss of $20.7 million and $21.9 million for the three months ended March 31, 2026 and 2025, respectively.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generated adjusted EBITDA loss of $17.2 million and $18.6 million for the three months ended March 31, 2026 and 2025, respectively.</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EBITDA is a financial measure that is not calculated in accordance with generally accepted accounting principles in the United States, or GAAP. See the section titled “Non-GAAP Financial Measures” below for the definition of adjusted EBITDA, as well as a reconciliation of non-GAAP financial measures to their most directly comparable GAAP financial measures.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performance in the fourth quarter of 2025 did not meet our net revenue expectations. We have been operating the footwear and apparel business at a material loss and do not believe that continuing to operate this business is sustainable or beneficial to our stockholders. In the first quarter of 2026, we closed our remaining full-price stores in the United States, which also resulted in a reduction in force. As of March 31, 2026, we operated two factory outlet stores in the United States and two stores in the United Kingdom.</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29, 2026, the Company entered into an Asset Purchase Agreement (the “Asset Purchase Agreement”) with Allbirds IP LLC, an affiliate of American Exchange Group (the “Buyer” and the transactions contemplated by the Asset Purchase Agreement, the “Asset Sale”), pursuant to which the Buyer will acquire substantially all of the Company’s assets related to its existing footwear business (the “Purchased Assets”). The Purchased Assets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all revenue generating assets of the Company.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Purchaser.</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intend to continue operating Allbirds, Inc. after the Asset Sale.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including (either directly or through its subsidiaries)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an agreement to sell up to $50 million in senior secured convertible notes (the “Convertible Notes,” and the facility governing such notes, the “Facility”), the proceeds of which would permit the Company to purchase Electronics Assets and develop and expand the anticipated Electronics Infrastructure Business. Using proceeds from the initial tranche of the Convertible Notes, the Company, through its wholly owned subsidiary (the “Lessor”), has purchased server equipment utilizing current-generation NVIDIA Blackwell GPUs (the “Purchased GPU Assets”). Simultaneously, the Lessor entered into an approximately $2.75 million, three-year lease agreement with a subsidiary of QumulusAI, Inc. (the “Lessee”) for the Purchased GPU Assets, with an end-of-term purchase option provided to the Lessee.</w:t>
      </w:r>
    </w:p>
    <w:p>
      <w:pPr>
        <w:spacing w:after="0" w:line="1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Note 1, Description of Business and Note 13, Subsequent Events, of our condensed consolidated financial statements included in Part I, Item 1, for more information.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financial and operating conditions have been, and will continue to be, affected by a number of factors, including the following: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Recent financial performance, including a net loss of $20.7 million and net cash used in operating activities of $12.1 million in the three months ended March 31, 2026, has raised substantial doubt about the Company’s ability to continue as a going concern. Refer to the section titled Liquidity and Capital Resources and Note 2 to the condensed consolidated financial statements included in Part I, Item 1, for additional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generate net revenue primarily from sales of our footwear and apparel products. We sell products directly through our own digital channels (including our websites and marketplace platforms), our leased retail stores, and third-party retailers and distributors. As of March 31, 2026, the majority of our sales are through our direct channels. Revenue is recognized when we satisfy our performance obligation by transferring control of the promised goods to the customer, net of allowances for returns, discounts, and any taxes collected from customers. This occurs either upon shipment or upon receipt, depending on the terms of sale.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 of revenue consists primarily of the cost of purchased inventory, inbound and outbound shipping costs, import duties, distribution center and related equipment costs, and inventory write-downs or write-offs. Shipping costs to receive products from our suppliers are included in the cost of inventory and recognized as cost of revenue upon the sale of products to our customers. We generally expect our cost of revenue to decrease or increase in absolute dollars in line with net revenue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Margin</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Gross profit represents net revenue less the cost of revenue. Gross margin is gross profit expressed as a percentage of net revenue. Our gross margin may fluctuate from period to period based on a number of factors, including business outcomes, the mix of products we sell in different geographies and channels, price changes, promotional activities, the innovation initiatives we undertake in each product category, cost drivers (including commodity prices, transportation rates, manufacturing costs), and inventory write-downs or write-offs, among other factors.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Selling, general, and administrative expense (“SG&amp;A expense”) consists of personnel and related costs including salaries, benefits, bonuses, and stock-based compensation for our corporate and retail employees, third-party professional fees, information technology, payment processing fees, fixed and variable lease costs for corporate offices and retail stores, depreciation and amortization, software costs, legal fees, and other administrative costs associated with operating the business.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expense consists of advertising costs incurred to acquire new customers, retain existing customers, and build our brand awareness.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Expense</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Impairment expense consists of charges when the carrying value of our assets exceed their fair market value, primarily related to right of use assets and fixed assets.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Expense</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Restructuring expense consists of professional service fees, severance and other employee-related benefits, and other miscellaneous costs associated with exit and disposal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income primarily consists of interest expense associated with our credit agreements, including with Second Avenue Capital Partners as of and after June 30, 2025 and with JPMorgan Chase Bank, N.A for all prior periods, partially offset by interest income generated from our cash and cash equivalents. We expect interest income and expense to fluctuate based on our credit line utilization, future bank balances, and the interest rate environment.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consists of gains or losses on lease terminations and modifications, gains or losses on foreign currency, gains or losses on sales of property and equipment, and changes in the fair value of our equity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provision for income taxes consists of U.S. federal and state income taxes and income taxes in certain foreign jurisdictions in which we conduct business. We record deferred tax assets and liabilities based on differences between the book and tax bases of assets and liabilities. The deferred tax assets and liabilities are calculated by applying enacted tax rates and laws to taxable years in which such differences are expected to reverse. Because we have a recent history of pre-tax book losses and are expected to be in a pre-tax book loss position in the near term, a valuation allowance was maintained against the deferred tax assets in all jurisdictions other than in the United Kingdom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in dollars and as a percentage of net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5"/>
                <w:szCs w:val="15"/>
                <w:color w:val="auto"/>
              </w:rPr>
            </w:pPr>
          </w:p>
        </w:tc>
      </w:tr>
      <w:tr>
        <w:trPr>
          <w:trHeight w:val="22"/>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1"/>
        </w:trPr>
        <w:tc>
          <w:tcPr>
            <w:tcW w:w="80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6"/>
        </w:trPr>
        <w:tc>
          <w:tcPr>
            <w:tcW w:w="8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6"/>
                <w:szCs w:val="16"/>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 Data:</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22,319</w:t>
            </w:r>
          </w:p>
        </w:tc>
        <w:tc>
          <w:tcPr>
            <w:tcW w:w="80" w:type="dxa"/>
            <w:vAlign w:val="bottom"/>
          </w:tcPr>
          <w:p>
            <w:pPr>
              <w:spacing w:after="0"/>
              <w:rPr>
                <w:sz w:val="19"/>
                <w:szCs w:val="19"/>
                <w:color w:val="auto"/>
              </w:rPr>
            </w:pP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32,114</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16,111</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17,714</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14,400</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8040" w:type="dxa"/>
            <w:vAlign w:val="bottom"/>
          </w:tcPr>
          <w:p>
            <w:pPr>
              <w:ind w:left="260"/>
              <w:spacing w:after="0" w:line="219" w:lineRule="exact"/>
              <w:rPr>
                <w:sz w:val="20"/>
                <w:szCs w:val="20"/>
                <w:color w:val="auto"/>
              </w:rPr>
            </w:pPr>
            <w:r>
              <w:rPr>
                <w:rFonts w:ascii="Times New Roman" w:cs="Times New Roman" w:eastAsia="Times New Roman" w:hAnsi="Times New Roman"/>
                <w:sz w:val="17"/>
                <w:szCs w:val="17"/>
                <w:color w:val="auto"/>
              </w:rPr>
              <w:t>Selling, general, and administrative expense</w:t>
            </w:r>
            <w:r>
              <w:rPr>
                <w:rFonts w:ascii="Times New Roman" w:cs="Times New Roman" w:eastAsia="Times New Roman" w:hAnsi="Times New Roman"/>
                <w:sz w:val="22"/>
                <w:szCs w:val="22"/>
                <w:color w:val="auto"/>
                <w:vertAlign w:val="superscript"/>
              </w:rPr>
              <w:t>(1)(2)</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25,212</w:t>
            </w: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7,128</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19"/>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expense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expense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37,230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(22,010)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(22,830)</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the sale of business</w:t>
            </w:r>
          </w:p>
        </w:tc>
        <w:tc>
          <w:tcPr>
            <w:tcW w:w="9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(20,645)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(21,809)</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(20,724)</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(21,875)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3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(20,765)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(21,185)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24" w:lineRule="exact"/>
        <w:rPr>
          <w:sz w:val="20"/>
          <w:szCs w:val="20"/>
          <w:color w:val="auto"/>
        </w:rPr>
      </w:pPr>
    </w:p>
    <w:p>
      <w:pPr>
        <w:ind w:left="320" w:hanging="317"/>
        <w:spacing w:after="0"/>
        <w:tabs>
          <w:tab w:leader="none" w:pos="3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stock-based compensation expense of $1.2 million and $2.3 million for the three months ended March 31, 2026 and 2025, respectively.</w:t>
      </w:r>
    </w:p>
    <w:p>
      <w:pPr>
        <w:spacing w:after="0" w:line="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depreciation and amortization expense of $1.4 million and $1.9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 Data, as a Percentage of Net Revenue:</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55.2 %</w:t>
            </w:r>
          </w:p>
        </w:tc>
      </w:tr>
      <w:tr>
        <w:trPr>
          <w:trHeight w:val="21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44.8 %</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78.5 %</w:t>
            </w:r>
          </w:p>
        </w:tc>
      </w:tr>
      <w:tr>
        <w:trPr>
          <w:trHeight w:val="219"/>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37.4 %</w:t>
            </w:r>
          </w:p>
        </w:tc>
      </w:tr>
      <w:tr>
        <w:trPr>
          <w:trHeight w:val="219"/>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Impairment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8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w:t>
            </w: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126.4 %</w:t>
            </w:r>
          </w:p>
        </w:tc>
        <w:tc>
          <w:tcPr>
            <w:tcW w:w="8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115.9 %</w:t>
            </w:r>
          </w:p>
        </w:tc>
      </w:tr>
      <w:tr>
        <w:trPr>
          <w:trHeight w:val="212"/>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Loss from operations</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1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from the sale of business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1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2"/>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0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1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37"/>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2026 and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92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22,319</w:t>
            </w:r>
          </w:p>
        </w:tc>
        <w:tc>
          <w:tcPr>
            <w:tcW w:w="102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revenue decreased by $9.8 million, or 30.5%, for the three months ended March 31, 2026 as compared to the same period in 2025. The decrease was primarily driven by a decrease in our U.S. direct business of $7.6 million, primarily driven by declines in our e-commerce and retail channels, due to lower unit sales at lower average selling prices, and retail store closures. Net revenue also declined in our international business by $2.3 million, primarily due to lower distributor net revenue and international distributor transitions.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2720" w:type="dxa"/>
            <w:vAlign w:val="bottom"/>
            <w:gridSpan w:val="3"/>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16,111</w:t>
            </w:r>
          </w:p>
        </w:tc>
        <w:tc>
          <w:tcPr>
            <w:tcW w:w="10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0" w:type="dxa"/>
            <w:vAlign w:val="bottom"/>
          </w:tcPr>
          <w:p>
            <w:pPr>
              <w:spacing w:after="0"/>
              <w:rPr>
                <w:sz w:val="19"/>
                <w:szCs w:val="19"/>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6,208</w:t>
            </w:r>
          </w:p>
        </w:tc>
        <w:tc>
          <w:tcPr>
            <w:tcW w:w="104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(8,192)</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 of revenue decreased by $1.6 million, or 9.0%, for the three months ended March 31, 2026 as compared to the same period in 2025. The decrease was primarily attributable to fewer unit sales in our U.S. direct business, partially offset by the net impact of inventory adjustments and higher duty costs.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Gross profit decreased by $8.2 million, or 56.9%, for the three months ended March 31, 2026 as compared to the same period in 2025. The decrease in gross profit was driven by the decreases in net revenue and cost of revenue.</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gross margin decreased to 27.8% for the three months ended March 31, 2026 from 44.8% in the same period in 2025, primarily reflecting the impact of lower average selling prices, driven by promotional activity, inventory adjustment costs, and increased duties in our U.S.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rPr>
              <w:t>(6,418)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expense</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ind w:left="577"/>
              <w:spacing w:after="0"/>
              <w:rPr>
                <w:sz w:val="20"/>
                <w:szCs w:val="20"/>
                <w:color w:val="auto"/>
              </w:rPr>
            </w:pPr>
            <w:r>
              <w:rPr>
                <w:rFonts w:ascii="Times New Roman" w:cs="Times New Roman" w:eastAsia="Times New Roman" w:hAnsi="Times New Roman"/>
                <w:sz w:val="17"/>
                <w:szCs w:val="17"/>
                <w:color w:val="auto"/>
              </w:rPr>
              <w:t>(4,890)</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expense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9"/>
              </w:rPr>
              <w:t>1,016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9"/>
              </w:rPr>
              <w:t>1,280</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expense</w:t>
            </w:r>
          </w:p>
        </w:tc>
        <w:tc>
          <w:tcPr>
            <w:tcW w:w="90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rPr>
              <w:t>(9,012)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 decreased by $6.4 million, or 25.5%, for the three months ended March 31, 2026 as compared to the same period in 2025. The decrease was primarily driven by decreases in personnel and related expenses of $3.8 million, occupancy costs of $1.7 million, stock-based compensation expense of $1.1 million, and depreciation and amortization expense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Expense</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Marketing expense decreased by $4.9 million, or 40.7%, for the three months ended March 31, 2026 as compared to the same period in 2025. The decrease was primarily driven by a decrease in upper funnel marketing initiatives.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Expense</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Impairment expense increased by $1.0 million for the three months ended March 31, 2026 as compared to $0.0 million in the same period in 2025. The increase was driven by non-cash impairments of operating lease right-of-use assets and property and equipment associated with our retail stores 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Expense</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Restructuring expense increased by $1.3 million for the three months ended March 31, 2026, as compared to $0.0 million in the same period in 2025. The increase was driven by the closure of our U.S. full price retail stores during the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26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40" w:type="dxa"/>
            <w:vAlign w:val="bottom"/>
          </w:tcPr>
          <w:p>
            <w:pPr>
              <w:spacing w:after="0"/>
              <w:rPr>
                <w:sz w:val="15"/>
                <w:szCs w:val="15"/>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expense changed by $1.1 million, or 387.4%, from income to expense, for the three months ended March 31, 2026 as compared to the same period in 2025. The change was primarily driven by increased interest expense relating to our Credit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26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2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2,207</w:t>
            </w:r>
          </w:p>
        </w:tc>
        <w:tc>
          <w:tcPr>
            <w:tcW w:w="11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1,479</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203.2 %</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increased by $1.5 million, or 203.2%, for the three months ended March 31, 2026, primarily due to higher gains on the termination and modification of certain operating leases.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26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640" w:type="dxa"/>
            <w:vAlign w:val="bottom"/>
          </w:tcPr>
          <w:p>
            <w:pPr>
              <w:spacing w:after="0"/>
              <w:rPr>
                <w:sz w:val="15"/>
                <w:szCs w:val="15"/>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90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10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Income tax provision increased by $13 thousand, or 19.7%, for the three months ended March 31, 2026 as compared to the same period in 2025, primarily due to a change in the mix of taxable income in foreign jurisdictions that resulted in differences in the effective tax rates for the comparative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and accompanying financial tables include references to adjusted EBITDA and adjusted EBITDA margin, which are non-GAAP financial measures. We believe that these non-GAAP financial measures, when reviewed in conjunction with GAAP financial measures, and not in isolation or as substitutes for analysis of our results of operations under GAAP, are useful to investors as they are widely used measures of performance, and the adjustments we make to these non-GAAP financial measures provide investors further insight into our profitability and additional perspectives in comparing our performance to other companies and in comparing our performance over time on a consistent basis. These non-GAAP financial measures should not be considered as alternatives to net loss or net loss margin as calculated and presented in accordance with GAAP.</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Adjusted EBITDA is defined as net loss before stock-based compensation expense, depreciation and amortization expense, impairment expense, restructuring expense (consisting of professional fees, personnel and related expenses, and other related charges resulting from our strategic initiatives), non-cash gains or losses on the sales of businesses relating to our strategic initiatives, other income or expense (consisting of consisting of non-cash gains or losses on foreign currency, non-cash gains or losses on sales of property and equipment, and non-cash gains or losses on modifications or terminations of leases), interest income or expense, and income tax provision or benefit.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EBITDA margin is defined as adjusted EBITDA divided by net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a number of limitations related to the use of these non-GAAP financial measures. Some of these limitations are:</w:t>
      </w:r>
    </w:p>
    <w:p>
      <w:pPr>
        <w:spacing w:after="0" w:line="165" w:lineRule="exact"/>
        <w:rPr>
          <w:sz w:val="20"/>
          <w:szCs w:val="20"/>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stock-based compensation expense, and therefore do not include all of our compensation costs;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depreciation and amortization expense and, although these are a non-cash expense, the assets being depreciated may have to be replaced in the future, increasing our cash requirements;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impairment expense for long-lived assets and, although these are a non-cash expense, the assets being impaired may never recover their fair value, increasing our cash requirements;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severance, reorganization, exit, disposal and other costs associated with restructuring plans, which reduce cash available to us;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gains or losses from sales of businesses that may reduce cash available to us if the actual cash received is lower than the cash paid;</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other income or expense that may reduce cash available to us if the actual cash received is lower than the cash paid;</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interest income or expense, or the cash required to service interest on our debt, which reduces cash available to us;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income tax expense, or tax payments that may reduce cash available to us.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 other companies, including companies in our industry, may calculate these non-GAAP financial measures differently, which reduces their usefulness as comparative measures. Because of these limitations, we consider, and investors should consider, these non-GAAP financial measures together with other operating and financial performance measures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reconciliation of adjusted EBITDA to its most comparable GAAP measure, net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5"/>
                <w:szCs w:val="15"/>
                <w:color w:val="auto"/>
              </w:rPr>
            </w:pPr>
          </w:p>
        </w:tc>
      </w:tr>
      <w:tr>
        <w:trPr>
          <w:trHeight w:val="22"/>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1"/>
        </w:trPr>
        <w:tc>
          <w:tcPr>
            <w:tcW w:w="80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6"/>
        </w:trPr>
        <w:tc>
          <w:tcPr>
            <w:tcW w:w="8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6"/>
                <w:szCs w:val="16"/>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(20,724)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(21,875)</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19"/>
        </w:trPr>
        <w:tc>
          <w:tcPr>
            <w:tcW w:w="8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r>
      <w:tr>
        <w:trPr>
          <w:trHeight w:val="21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Impairment expense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expense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19"/>
        </w:trPr>
        <w:tc>
          <w:tcPr>
            <w:tcW w:w="8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(income)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provision</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(17,173)</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(18,644)</w:t>
            </w:r>
          </w:p>
        </w:tc>
      </w:tr>
      <w:tr>
        <w:trPr>
          <w:trHeight w:val="20"/>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Adjusted EBITDA loss decreased by $1.5 million for the three months ended March 31, 2026 as compared to the same period in 2025. The improvement was primarily driven by decreased net loss, which was driven primarily by the reduction in operating expenses during the period.</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presents net loss as a percentage of net revenue and net loss and adjusted EBITDA as percentages of net revenue, for each of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22,319</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32,114</w:t>
            </w:r>
          </w:p>
        </w:tc>
      </w:tr>
      <w:tr>
        <w:trPr>
          <w:trHeight w:val="258"/>
        </w:trPr>
        <w:tc>
          <w:tcPr>
            <w:tcW w:w="7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(20,724)</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(21,875)</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58"/>
        </w:trPr>
        <w:tc>
          <w:tcPr>
            <w:tcW w:w="78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(17,173)</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(18,644)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margin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Adjusted EBITDA margin declined from (58.1)% to (76.9)% for the three months ended March 31, 2026 as compared to the same period in 2025. These changes were primarily driven by lower net sales, partially offset by the same factors as noted in the adjusted EBITDA discussion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March 31, 2026, we had cash and cash equivalents of $14.4 million. Following our IPO in 2021, we have funded our operations primarily from the sale of our products and recently through borrowings under our Credit Agreement. Management’s evaluation of the Company’s ability to continue as a going concern for the twelve-month period following the date on which the financial statements are available for issuance indicated certain negative conditions and events that raise substantial doubt about the Company’s ability to continue as a going concern, including a net loss of $20.7 million and net cash used in operating activities of $12.1 million in the three months ended March 31, 2026. As of March 31, 2026, the Company had $14.4 million in cash and cash equivalents and $17.4 million outstanding on its Credit Agreement. The Company expects to continue to incur net losses and negative cash flows from operating activities following the Asset Sale as defined in the Recent Developments section above. Additionally, the cash flows for the Company’s Asset Infrastructure Business are uncertain.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Asset Sale is not completed for any reason and the Asset Infrastructure Business is not successful, we do not anticipate we would be able to meet our future liquidity needs without accessing additional capital or engaging in strategic transactions which are not within our control and are subject to various risks and uncertainties. See Note 2 to our consolidated financial statements included in this Quarterly Report on Form 10-Q for additional information on going concern.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material cash requirements are primarily for working capital, and may vary materially from those currently planned and will depend on many factors, including cash on hand and cash flows from operations, borrowings under our Credit Agreement, waivers or modifications concerning our existing debt obligations and the Asset Sale. If the stockholders approve the Asset Sale, the Company intends to make a distribution, in the form of a special dividend, to the stockholders of record as of the date of the closing of the Asset Sale of a portion of the proceeds from the Asset Sale (such special dividend, the “Asset Sale Dividend”). The amount and timing of the Asset Sale Dividend and any other distributions to stockholders will be determined by the Board in its discretion. The Board currently anticipates that the Asset Sale Dividend will be made in the third quarter of 2026, following the closing of the Asset Sale and the release of funds from the Escrow Fund, if any. The amount and timing of the Asset Sale Dividend and any other distributions to stockholders will be determined by the Board in its discretion.</w:t>
      </w: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discussed in the Recent Developments section above, we intend to continue operating Allbirds, Inc. after the Asset Sale.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our anticipated Electronics Infrastructure Business. 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Further, 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will be operating new assets in a different business. We will need to expand or build substantial parts of our business, including strategy, personnel, processes, controls, systems, counterparties, customer relationships, vendor relationships, branding and market positioning. We may not be successful in doing so. If our continuing business does not develop successfully, we may fail to generate meaningful revenue, incur substantial losses, need to raise additional capital on unfavorable terms, need to declare bankruptcy, or pursue additional strategic alternatives.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material capital resources include the following: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February 20, 2019, we entered into a credit agreement with JPMorgan Chase Bank, N.A. (the “Prior Credit Agreement”), providing for a revolving line of credit of up to $40.0 million, subject to a borrowing base formula, and an optional accordion, which, if exercised, would have allowed us to increase the aggregate commitment by up to $35.0 million, subject to obtaining additional lender commitments and satisfying certain conditions. The Prior Credit Agreement was amended on April 17, 2023 to, among other things, (i) increase the committed amount from $40.0 million to $50.0 million, subject to a borrowing base formula,</w:t>
      </w:r>
    </w:p>
    <w:p>
      <w:pPr>
        <w:spacing w:after="0" w:line="1" w:lineRule="exact"/>
        <w:rPr>
          <w:sz w:val="20"/>
          <w:szCs w:val="20"/>
          <w:color w:val="auto"/>
        </w:rPr>
      </w:pPr>
    </w:p>
    <w:p>
      <w:pPr>
        <w:jc w:val="both"/>
        <w:ind w:firstLine="3"/>
        <w:spacing w:after="0" w:line="257" w:lineRule="auto"/>
        <w:tabs>
          <w:tab w:leader="none" w:pos="25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uncommitted incremental borrowing capacity from $35.0 million to $50.0 million, (iii) increase the interest rate margin by 0.50%, (iv) extend the maturity date from February 20, 2024 to April 17, 2026 and (v) provide that a Dominion Event Date (as defined therein)would occur on any date on which Availability (as defined therein) was less than 25.0% of the Aggregate Revolving Commitments (as defined therein). In connection with entry into the Credit Agreement, we repaid and fully discharged our obligations under the Prior Credit Agreement.</w:t>
      </w:r>
    </w:p>
    <w:p>
      <w:pPr>
        <w:spacing w:after="0" w:line="1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June 30, 2025, we entered into a secured $50.0 million revolving credit agreement with Second Avenue Capital Partners LLC (the “Credit Agreement”). The borrowing capacity is subject to a borrowing base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relating to the value of our eligible assets, and under the revolving credit facility may be increased up to an additional $25.0 million, subject to obtaining additional lender commitments and satisfying certain conditions.</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accrues at a variable rate equal to (i) the sum of the Term Secured Overnight Financing Rate (“SOFR”), plus (ii) 0.15%, plus (ii) a margin of 5.75% per annum. The commitment fee under the Credit Agreement is 0.45% per annum on the average daily unused portion of each lender’s commitment.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29, 2026, the Company and Second Avenue Capital Partners LLC entered into a Consent and First Amendment to Credit Agreement (the “First Amendment to Credit Agreement”). The First Amendment to Credit Agreement provides consent to the Company’s entry into the Asset Sale and amends the Credit Agreement dated as of June 30, 2025.</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First Amendment to Credit Agreement among other things, (i) lowers the minimum amount of Unrestricted Cash required to be held by the Company and its Subsidiaries to avoid the commencement of a Cash Dominion Period from $10,000,000 to $7,500,000, (ii) increases the basket for Indebtedness consisting of reimbursement obligations in respect of the Existing Cash Collateralized Letter of Credit from $855,000 to $1,206,905, (iii) increases the unsecured Indebtedness basket from $2,500,000 to $11,000,000, (iv) extends the delivery date for the Consolidated Statements for the Fiscal Year ended December 31, 2025 from March 31, 2026 to April 15, 2026, (v) requires delivery by Borrower of certain financial and other information with respect to the Asset Sale, and (vi) replaces the Minimum Consolidated EBITDA financial covenant, and corresponding equity cure right, with a minimum Consolidated Liquidity financial covenant.</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affirmative covenants and negative covenants applicable to the Company and certain of its subsidiaries, including, among other things, restrictions on indebtedness, liens, investments, mergers, dispositions of assets, dividends and other distributions, minimum unrestricted cash, and minimum consolidated EBITDA or Liquidity. In addition, the Credit Agreement contains certain customary events of default including, but not limited to, failure to pay interest, principal and fees or other amounts when due, material misrepresentations or misstatements in any representation or warranty, covenant defaults, certain cross defaults to other material indebtedness, certain judgment defaults and events of bankruptcy or insolvency.</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Credit Agreement has a maturity date of June 30, 2028. See Note 5 to our condensed consolidated financial statements included in this Quarterly Report on Form 10-Q for additional information regarding the Credit Agreement. See Note 15, Subsequent Events, of our condensed consolidated financial statements included in this Quarterly Report on Form 10-Q for information on the Second Amendment to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ATM Offering</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June 2025, we entered into an “at-the-market offering” (“TD ATM”) program with TD Securities (USA) LLC (“TD Cowen”), pursuant to which we could offer and sell, from time to time, through TD Cowen or its affiliates, acting as sales agents, shares of our common stock having an aggregate offering price of up to $50 million. Under the TD ATM, the sales agents could sell shares by any method deemed to be an “at-the-market offering.” During the three months ended March 31, 2026, there was no activity pursuant to the TD ATM. See Note 15, Subsequent Events, of our condensed consolidated financial statements included in this Quarterly Report on Form 10-Q for information on the termination of the TD ATM and entry into a new “at-the-market” program with 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5"/>
                <w:szCs w:val="15"/>
                <w:color w:val="auto"/>
              </w:rPr>
            </w:pPr>
          </w:p>
        </w:tc>
      </w:tr>
      <w:tr>
        <w:trPr>
          <w:trHeight w:val="22"/>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1"/>
        </w:trPr>
        <w:tc>
          <w:tcPr>
            <w:tcW w:w="80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6"/>
        </w:trPr>
        <w:tc>
          <w:tcPr>
            <w:tcW w:w="8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6"/>
                <w:szCs w:val="16"/>
                <w:color w:val="auto"/>
              </w:rPr>
            </w:pPr>
          </w:p>
        </w:tc>
      </w:tr>
      <w:tr>
        <w:trPr>
          <w:trHeight w:val="22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(12,065)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(27,883)</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(11,947)</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(27,674)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largest sources of operating cash are cash payments received from customers for sales of our products. Our primary uses of cash from operating activities are for inventory, personnel and related expenses, selling and marketing expenses, and third-party professional fees.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mainly consists of our net loss adjusted for certain non-cash items, including, but not limited to, stock-based compensation, depreciation and amortization of property and equipment, inventory write-downs, and changes in operating assets and liabilities during each year.</w:t>
      </w:r>
    </w:p>
    <w:p>
      <w:pPr>
        <w:spacing w:after="0" w:line="1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operating activities was $12.1 million, which consisted of a net loss of $20.7 million, in part driven by a net change of $3.3 million in our operating assets and liabilities and partially offset by non-cash charges of $5.4 million. The change in operating assets and liabilities was primarily due to an increase of $1.3 million in accounts payable and accrued expenses due to timing of payments made and a decrease of $2.4 million for operating lease right of use assets and short-term and long-term lease liabilities as a result of retail store closures, a decrease of $2.0 million in prepaid expenses and other current assets due to timing of prepaid expenses, a decrease of $1.5 million in accounts receivable due to timing of cash received, and a decrease of $1.0 million in inventory as a result of lower on-hand inventory.</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2025, net cash used in operating activities was $27.9 million, which consisted of a net loss of $21.9 million, in part driven by a net change of $(9.0) million in our operating assets and liabilities and partially offset by non-cash charges of $3.0 million. The change in operating assets and liabilities was primarily due to a decrease of $10.4 million in accounts payable due to timing of payments made and a decrease of $2.8 million for operating lease right of use assets and short-term and long-term lease liabilities as a result of retail store closures, partially offset by a decrease of $2.7 million in prepaid expenses and other current assets due to the amortization of prepaid expenses and a reduction in other receivables, a decrease of $1.1million in accounts receivable due to timing of cash received, and a decrease of $0.8 million in inventory as a result of lower on-hand inventory.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typically relates to capital expenditures to support our growth and investment in property and equipment for expansion of our business.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net cash provided in investing activities was $65 thousand, and consisted primarily of a decrease of $137 thousand in security deposits related to our closed retail stores, partially offset by $72 thousand cash outflows for the purchases of property and equipment.</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net cash provided by investing activities was $0.2 million, and consisted primarily of $0.4 million of proceeds from the sale of our businesses and a decrease of $44.0 thousand in security deposits related to our closed retail stores, partially offset by $0.6 million cash outflows for the purchases of property and equipment to support the ongoing operations of our corporate development and retail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2026 was $0.1 million, primarily due to the net impact of borrowings and repayments on our Credit Agreement facility.</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for the three months ended March 31, 2025 was $3 thousand, primarily due to proceeds from the exercise of stock options, offset by taxes withheld related to employee stock awards.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condensed consolidated financial statements and the related notes thereto included elsewhere in this Quarterly Report on Form 10-Q are prepared in accordance with GAAP. The preparation of our condensed consolidated financial statements in conformity with GAAP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there have been no changes to our critical accounting estimates as discussed under the heading “Management’s Discussion and Analysis of Financial Condition and Results of Operations—Critical Accounting Estimates” in the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information on new accounting pronouncements adopted and not yet adopted as of the date of this report, see Note 2 to our condensed consolidated financial statements included in this Quarterly Report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currently an “emerging growth company,” as defined in the Jumpstart Our Business Startups Act of 2012,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December 31, 2026, the last day of the fiscal year following the fifth anniversary of our initial public offering or such earlier time that we are no longer an emerging growth company. We would cease to be an emerging growth company if we have more than $1.235 billion in annual gross revenue, we have more than $700.0 million in market value of our Class A stock held by non-affiliates or we issue more than $1.0 billion of non-convertible debt securities over a three-year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Smaller Reporting Company Status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currently a “smaller reporting company,” as defined by Rule 12b-2 of the Exchange Act and therefore qualify for reduced disclosure requirements for smaller reporting companies.</w:t>
      </w:r>
    </w:p>
    <w:p>
      <w:pPr>
        <w:spacing w:after="0" w:line="96" w:lineRule="exact"/>
        <w:rPr>
          <w:sz w:val="20"/>
          <w:szCs w:val="20"/>
          <w:color w:val="auto"/>
        </w:rPr>
      </w:pPr>
    </w:p>
    <w:p>
      <w:pPr>
        <w:ind w:right="4400"/>
        <w:spacing w:after="0" w:line="482" w:lineRule="auto"/>
        <w:rPr>
          <w:sz w:val="20"/>
          <w:szCs w:val="20"/>
          <w:color w:val="auto"/>
        </w:rPr>
      </w:pPr>
      <w:r>
        <w:rPr>
          <w:rFonts w:ascii="Times New Roman" w:cs="Times New Roman" w:eastAsia="Times New Roman" w:hAnsi="Times New Roman"/>
          <w:sz w:val="17"/>
          <w:szCs w:val="17"/>
          <w:b w:val="1"/>
          <w:bCs w:val="1"/>
          <w:color w:val="auto"/>
        </w:rPr>
        <w:t xml:space="preserve">ITEM 3. QUANTITATIVE AND QUALITATIVE DISCLOSURES ABOUT MARKET RISK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as of the period ended March 31, 2026,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Effectiveness of Controls and Procedures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our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set forth under Note 11—Commitments and Contingencies—Legal Proceedings contained in the “Notes to Condensed Consolidated Financial Statements” in this Quarterly Report on Form 10-Q is incorporated herein by reference.</w:t>
      </w:r>
    </w:p>
    <w:p>
      <w:pPr>
        <w:spacing w:after="0" w:line="1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from time to time, we may be subject to legal proceedings, claims, and government investigations in the ordinary course of business. We have received, and may in the future continue to receive, claims arising from: our public statements to investors; our products, such as consumer claims and personal injury claims; our workforce, our technology, and business processes, such as worker classification and patent claims; our sustainability and ESG practices, statements, and goals; and our intellectual property, such as trademarks and copyright infringement claims. The results of any current or future litigation cannot be predicted with certainty, and regardless of the outcome, litigation can have an adverse impact on us because of defense and settlement costs, diversion of management resources, harm to our brand and reputation,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You should carefully consider the risk factors set forth below and those risk factors associated with our existing footwear business contained in our Annual Report on Form 10-K for the year ended December 31, 2025 and our subsequent U.S. Securities and Exchange Commission (the “SEC”) filings. You should carefully consider the risks and uncertainties described below, together with all of the other information in this Quarterly Report on Form 10-Q, including our condensed consolidated financial statements and related notes included in Part I, Item 1, and the section titled “Management’s Discussion and Analysis of Financial Condition and Results of Operations” included in Part I, Item 2.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The specific risk considerations described below are not the only ones facing us. Additional risks and uncertainties not presently known to us or that we currently believe are not material may also impair our business, financial condition, results of operations, and growth prospects.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the Post-Asset Sale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 Factors Relating to the Asset Sale</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complete the Asset Sale, or if the Asset Sale is materially delayed, our business, liquidity and ability to make the Asset Sale Dividend may be materially harmed and our financial condition, strategic alternatives and the price of our Class A common stock could be materially adversely affected.</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cannot provide assurances that the Asset Sale will be completed on the timeline currently anticipated or at all. The closing of the Asset Sale is subject to a number of conditions, including but not limited to our obtaining stockholder approval of the Asset Purchase Agreement and providing necessary third-party consents and approvals in order to sell the Assets. In addition, the closing may be delayed by SEC, Nasdaq or other regulatory review, inquiries or comments, litigation or threatened litigation, disputes regarding closing conditions, counterparty delays or other developments outside of our control.</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the Asset Sale is not completed, or if completion is materially delayed, our business, financial condition and liquidity could be materially and adversely affected. We have extremely limited available cash and continue to incur substantial operating expenses, transaction expenses, professional fees, public company costs and other obligations. Any delay may require us to use cash that otherwise would have been available for distribution to stockholders. As a result, we may be unable to pay the anticipated Asset Sale Dividend in the amount or on the timeline currently contemplated, or at all.</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Further, if the Asset Sale is not completed, we may remain responsible for operating a legacy business that we have described as unsustainable and loss-making, while also having incurred significant transaction costs, and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caused management distraction and market uncertainty. In such circumstances, we may have significantly fewer strategic alternatives available to us, may be required to seek additional financing on unfavorable terms or at all, may be required to declare bankruptcy, and may be unable to pursue the anticipated Electronics Infrastructure Business or any alternative strategy.</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announcement of the Asset Sale may cause employees working for us to become concerned about the future of the business and lose focus or seek other employment.</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the Asset Sale is not completed, our directors, executive officers and other employees will have expended extensive time and effort and experienced significant distractions from their work during the pendency of the Asset Sale and we will have incurred significant third party transaction costs, in each case, without any commensurate benefit, which may have a material and adverse effect on our stock price and results of operations.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risks may be heightened as we expand into the Electronics Infrastructure Business, which may create additional uncertainty among employees regarding the Company’s strategy, prospects, leadership, required skillsets and long-term organizational direction. We may lose employees whose knowledge is important to the completion of the Asset Sale, the management of remaining obligations, and the development of our continuing business.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amount of net proceeds that we will receive from the Asset Sale is subject to uncertainties, and such proceeds may be insufficient to support our continuing plans or maximize stockholder value.</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amount of net proceeds that we will receive from the Asset Sale is subject to uncertainties. We expect to receive aggregate net proceeds of approximately $35 million to $36.2 million, after payment of transaction and other related expenses and applicable taxes (if any), assuming a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 even if the Asset Sale is completed and the anticipated Asset Sale Dividend is made as contemplated, the assets available to the Company following such transactions may be insufficient to fund our continuing business, satisfy public company costs, support working capital needs, pursue strategic opportunities or provide stockholders with any value in the go-forward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Asset Purchase Agreement limits our ability to pursue alternatives to the Asset Sale.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Asset Purchase Agreement contains provisions that make it more difficult for us to sell the Purchased Assets to any party other than Buyer or to sell any other of our assets prior to the closing of the Asset Sale. These provisions include the prohibition on our ability to solicit competing proposals. These provisions could discourage a third party that might have an interest in acquiring all of or a significant part of the Company from considering or proposing an alternative transaction, and could make it more difficult for us to complete an alternative transaction with another 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Asset Purchase Agreement may expose us to contingent liabilities, which could impair our ability to fund or operate our continuing business.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Asset Purchase Agreement, Buyer’s principal recourse for inaccuracies in the Surviving Representations is limited to recovery from the Escrow Fund, and the Escrow Fund also secures certain negative purchase price adjustments and specified reimbursement obligations of the Company. Significant claims against the Escrow Fund or other post-closing obligations of the Company could reduce the amount of net proceeds ultimately distributed to stockholders following the Asset Sale pursuant to the Asset Sale Dividend and expose us to contingent liabilities.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such liabilities or obligations could also reduce the funds available to develop or sustain our continuing business, to satisfy financing obligations, or to remain listed on Nasdaq, each following the closing of the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directors and executive officers may have interests that are different from, or in addition to, those of our stockholders generally in connection with the Asset Sale.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You should be aware of interests of, and the benefits available to, our directors and executive officers when considering the recommendation of our Board regarding the Asset Sale. Our directors and executive officers may have interests in the Asset Sale that may be in addition to, or different from, their interests as stockholders. For additional information regarding these matters, see “The Asset Sale Proposal (Proposal No. 1) - Interests of Our Directors and Executive Officers in the Asset Sale.”</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derivative litigation, books-and-records demands and other proceedings, which is expensive and would decrease the amount of net proceeds from the Asset Sale available for distribution and could delay or impair our post-closing plans.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be subject to securities class action litigation, securities class actions, stockholder derivative actions, fiduciary duty claims, books-and-records demands, appraisal-related claims, claims alleging material misstatements or omissions, regulatory inquiries and other proceedings in connection with the Asset Sale or other proposals presented at the upcoming special meeting of stockholders. Litigation and other claims, both meritorious and frivolous, are a common occurrence in connection with transactions similar to the Asset Sale, and we face potential for litigation or other disputes that relate to the Asset Sale, including claims related to our process or disclosures and investigatory demands under Delaware law. We can provide no assurance that such litigation, disputes, or demands will not arise in the future. Any future litigation or proceedings, whether with or without merit, or successful or not, could result in significant settlement amounts, damages, fines, or other penalties, divert financial and management resources, and result in significant legal fees. Any such amounts would directly decrease the amount of net proceeds from the Asset Sale available for distribution to our stockholders, including potentially prohibiting us from making a distribution of any amount to our stockholders. Further, any such litigation could delay the closing of the Asset Sale or could have a material adverse effect on our business, financial condition, and results of operations. Any such matters could also impair our ability to execute the anticipated Electronics Infrastructure Business, raise capital, or maintain our Nasdaq listing.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 if the Asset Sale is completed, we may not be able to establish and implement a viable continuing business.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Completion of the Asset Sale will not ensure the success of the Company following the sale of the Purchased Assets. After the Asset Sale, we intend to continue operating the Company, including pursuing the anticipated Electronics Infrastructure Business. However, our ability to do so successfully will depend on numerous factors, including our ability to obtain and maintain financing, identify and acquire Electronics Assets, hire or retain qualified personnel, establish commercially viable transaction structures, manage an entirely different business model, maintain our Nasdaq listing, avoid or manage litigation and other claims and preserve sufficient liquidity to fund operations. We will have only limited cash available following the Asset Sale and related transactions, and our available funds may be insufficient to fund our continuing business, satisfy public company costs, service indebtedness, meet working capital needs or otherwise continue operations. If we are unable to obtain additional capital when needed, we could exhaust our available cash and be unable to continue operating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Risk Factors Relating to Our Anticipated Electronics Infrastructure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 operating history in the anticipated Electronics Infrastructure Business, and our new business plan may not be successful.</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pursuing an Electronics Infrastructure Business focused on the acquisition and monetization of graphics processing units, related high-performance computing infrastructure and other related assets. While certain members of our board and management team have relevant experience, we have no operating history in this business as a company. As a result, investors will have limited basis on which to evaluate our prospects in this new business. We may be unable to retain existing employees or attract new employees with the expertise necessary to operate the anticipated Electronics Infrastructure Business.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anticipated Electronics Infrastructure Business is subject to all of the risks, uncertainties and difficulties frequently encountered by start-up companies and companies entering a new and rapidly evolving market, many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which are beyond our control. We may fail to identify attractive opportunities, acquire suitable Electronics Assets,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Electronics Infrastructure Business is highly speculative, uncertain, unproven and subject to change, and we may be unable to implement it successfully or at all.</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Electronics Assets and begin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w:t>
      </w:r>
    </w:p>
    <w:p>
      <w:pPr>
        <w:spacing w:after="0" w:line="1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Following closing of the Asset Sale, we will have sold all of the assets of the business we historically operated and we will be operating a business that differs from our primary historical business.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will be operating new assets in a different business.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will need to expand or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need to declare bankruptcy, or pursue additional strategic alternatives. Any such outcome could materially and adversely affect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transition successfully from a consumer products company to a computing infrastructure company.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successful operation of a computing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utilization and residual value risk, negotiating technical services and hosting arrangements, complying with industry-specific laws and regulations and managing specialized technical and operational risks.</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disclosures regarding our anticipated business necessarily involve substantial estimates and assumptions and may become inaccurate or incomplete as circumstances evolve.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Because our anticipated Electronics Infrastructure Business is at an early stage, our public disclosures regarding the business, opportunities, risks, economics, financing needs, market demand, asset acquisition plans, monetization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strategies and expected results necessarily depend on estimates, expectations and assumptions that may prove to be incomplete, inaccurate or subject to rapid change. In many cases, we may have 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anticipated Electronics Infrastructure Business may never generate meaningful revenue, achieve profitability or produce positive cash flow.</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anticipated Electronics Infrastructure Business may require substantial upfront capital expenditures, ongoing operating expenditures and significant management attention before it generates any material revenue, if at all. There can be no assurance that we will be able to generate customer demand, establish commercially reasonable pricing, maintain satisfactory utilization rates, structure profitable monetization arrangements or achieve sufficient scale to cover our costs.</w:t>
      </w:r>
    </w:p>
    <w:p>
      <w:pPr>
        <w:spacing w:after="0" w:line="3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Even if we generate revenue, our costs may be greater than we expect, including costs associated with acquiring Electronics Assets,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face intense competition from larger, more experienced and significantly better-capitalized companies, and we may be unable to compete effectively.</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computing infrastructure market is intensely competitive and evolving rapidly. We expect to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Electronics Assets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significantly fewer resources than many of the companies with which we would compete, which could materially impair our ability to execute our business plan.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After the Asset Sale, our available cash, remaining assets and organizational resources will be extremely limited. The anticipated Electronics Infrastructure Business will likely require significant capital, personnel, systems and third-party relationships. Larger and more established companies may have access to more favorable financing, stronger supplier relationships, greater technical expertise, lower cost structures and more diversified revenue streams.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our resources are expected to be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execute the anticipated Electronics Infrastructure Business will depend on our ability to obtain substantial capital, and such capital may not be available on acceptable terms or at all.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acquisition and monetization of Electronics Assets may require substantial capital and the proceeds from the Facility may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attempting to develop the anticipated Electronics Infrastructure Business. Our cash resources may be exhausted more quickly than we expect, and we may run out of cash before we are able to secure additional financing.</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Capital markets conditions, our limited operating history in the anticipated Electronics Infrastructure Business, the speculative nature of our strategy, trading volatility in our Class A common stock, our financial condition, investor sentiment regarding our transition and other factors may make it difficult or impossible for us to obtain additional capital on terms that are acceptable to us, or at all. If financing is unavailable or available only on unfavorable terms, we may be forced to delay or abandon acquisitions, curtail operations, sell assets at unattractive prices,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Only the initial $5.25 million of the contemplated Facility is committed, the remaining $44.75 million is solely at the option of the holders of the Convertible Notes and if we do not obtain additional funding we may run out of cash.</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Convertible Notes, if issued, would be issued in multiple closings. Although we have entered into an Amended and Restated Securities Purchase Agreement relating to the Facility, only the first $3.25 million in aggregate principal amount of the Convertible Notes has been issued. Further, only $5.25 million in aggregate principal amount of the Convertible Notes (inclusive of the $3.25 million in aggregate principal amount of the Convertible Notes that has been issued) is committed for issuance. The remaining $44.75 million in aggregate principal amount of the Convertible Notes in additional tranches is solely at the option of the holders of the Convertible Notes.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initial issuance of Convertible Notes would cover only a limited portion of the contemplated aggregate principal amount of the Facility, and the remaining additional tranches are solely at the option of the holders of the Convertible Notes. Accordingly, there can be no assurance that we will receive the full amount of the contemplated financing, or any amount beyond the initial $5.25 million. Stockholders should not assume that the holders of the Convertible Notes will elect to fund any additional tranche, and the initial committed amount will very likely be insufficient to fund our planned operations, liquidity needs or business strategy for any significant period of time.</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 holders of the Convertible Notes elect not to fund additional tranches, we very likely will not have access to the capital necessary to purchase Electronics Assets, develop operations or pursue our business plan. In such event, we may need to seek alternative financing, which may not be available on favorable terms or at all. We may also be forced to scale back or abandon aspects of our strategy, delay implementation, materially reduce operations, sell assets, cease operations, declare bankruptcy, or pursue other strategic alternatives. Without additional funding beyond the initial committed amount, we may run out of cash. Our inability to obtain the expected financing under the Facility could materially and adversely affect our business, liquidity, prospects and the market price of our Class A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and the terms of the Convertible Notes could materially adversely affect our liquidity, financial condition and operational flexibility.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Convertible Notes, if issued, would constitute indebtedness of the Company. Indebtedness may require us to use cash flow to satisfy principal, interest, redemption, amortization or other payment obligations rather than for working capital, capital expenditures, acquisitions or other corporate purposes. In addition, the financing documents provide for economic and other terms that could be expensive and highly dilutive, including a stated interest rate of 12%, an original issue discount of 5%, variable conversion pricing and default provisions that may increase amounts owed (including a 25% default premium), any of which could materially adversely affect our liquidity,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and prospects. The Convertible Notes are senior secured obligations and would, following the Closing of the Asset Sale, be secured by all of the assets of the Company and its subsidiaries, including all Electronics Assets. If our cash resources are limited, these obligations could exacerbate our liquidity constraints, reduce the time period during which we can continue operating and increase the risk that we may run out of cash.</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financing documents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or if an event of default occurs, the holders of the Convertible Notes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rights granted to the holders of the Convertible Notes may significantly limit our strategic and operational flexibility and may create governance or influence concerns.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financing documents grant the holders of the Convertible Notes significant rights, including rights relating to future financings, registration, conversion and other matters. For example, for twenty-four months following the issuance date, the holders of the Convertible Notes would have the right to co-invest for at least 55% of certain future financing transactions on the same terms as other investors. The Company also granted registration rights and other rights under the financing documents.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rights may limit our flexibility to pursue capital raising, strategic transactions or operational decisions on terms and timelines that we would otherwise consider desirable. The of holders of the Convertibles Notes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of holders of the Convertibles Notes right to appoint a new Chief Operating Officer may create management, integration, governance and strategic execution risks.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Facility, the holders of the Convertibles Notes have the right to appoint a new Chief Operating Officer of the Company. The appointment of a senior executive selected by the holders of the Convertible Notes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can be no assurance that any such executive will possess the necessary skills, judgment, cultural fit or industry experience to assist the Company successfully in implementing the anticipated Electronics Infrastructure 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turnover in senior management and on our Board as a result of the Asset Sale.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None of our existing executive officers or directors is obligated to continue serving the Company for any specified period following the closing of the Asset Sale, the financing transactions relating to our Electronics Infrastructure Business, or the implementation of our anticipated Electronics Infrastructure Business. As a result, we may experience substantial turnover in senior management and on our Board during a period in which continuity of leadership, institutional knowledge and strategic oversight may be especially important.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particular, one or more of our current executive officers may resign or otherwise cease to serve the Company following the consummation of the proposed transactions. Similarly, one or more of our current directors may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or elect not to continue serving on our Board. Such turnover may be exacerbated by the fact that the successful operation of the Electronics Infrastructure Business requires specialized capabilities that differ substantially from those required to operate our historical consumer footwear and apparel business. Any such turnover could result in a loss of institutional knowledge, reduced management continuity, weakened oversight, disruption to strategic execution, delays in implementing the anticipated Electronics Infrastructure Business, uncertainty among employees, counterparties and stockholders, and difficulty maintaining effective disclosure controls, internal control 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w:t>
      </w:r>
    </w:p>
    <w:p>
      <w:pPr>
        <w:spacing w:after="0" w:line="1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current management team and workforce has limited experience in the Electronics Infrastructure Business, and our need to recruit, retain and train personnel with new skill sets may increase costs and execution risk.</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Historically, our management team and employees have operated a consumer footwear and apparel business. Following the Asset Sale, we will need to operate a fundamentally different business that may require expertise in areas such as GPUs and related computing infrastructure, asset finance and leasing structures, technology operations, customer contracting, cybersecurity and regulatory compliance. We may be unable to retain existing personnel, train personnel effectively, or hire additional qualified personnel in a timely manner or on acceptable terms. If we fail to build and maintain a team with the requisite capabilities, we may be unable to execute our strategy, maintain effective controls and disclosure processes, or create stockholder value, and our business, financial condition and results of operations could be materially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through future equity issuances, which may be highly dilutive to existing stockholders.</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w:t>
      </w:r>
    </w:p>
    <w:p>
      <w:pPr>
        <w:spacing w:after="0" w:line="3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not reflect the fundamental value or prospects of the anticipated Electronics Infrastructure Business, and any increase in our stock price following announcement of such business may not be sustained.</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Following announcement of anticipated transactions, our stock price may experience substantial volatility or appreciation. There can be no assurance that any such increase will be sustained.</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Investors may have only limited information regarding our anticipated Electronics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Class A common stock has been, and may remain, highly volatile, and stockholders may lose all or a substantial part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price of our Class A common stock has been, and may continue to be, highly volatile. Volatility may result from, among other things, our proposed Asset Sale, the anticipated shift in our business strategy, uncertainty regarding the Electronics Infrastructure Business, potential dilution, actual or anticipated financings, litigation, analyst commentary, market sentiment regarding artificial intelligence and computing infrastructure businesses, and general market and macroeconomic conditions.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Market enthusiasm for artificial intelligence, GPUs and computing infrastructure may be temporary, concentrated, cyclical or disconnected from our ability to benefit from it, and demand for our anticipated business may not develop as expected.</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anticipated Electronics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greater utilization of existing installed capacity, shifts from training to inference workloads, or the ability of hyperscalers and other large market participants to internalize demand. As a result, growth in the AI sector may not translate into corresponding demand for the assets we acquire or the business model we seek to develop.</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complete the purchase and lease of the Electronics Assets, including the Purchased GPU Assets, on the terms, in the amounts or on the timeline we currently anticipate, or at all.</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disclosed, using proceeds from the initial tranche of the Convertible Notes, the Company, through the Lessor, has purchased the Purchased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 Our anticipated Electronics Infrastructure Business depends in significant part on our ability to identify, acquire and monetize graphics processing units and related high-performance computing infrastructure and other Electronics Assets, including the Purchased GPU Assets. There can be no assurance that we will be able to complete the purchase of any such Electronics Assets, including the Purchased GPU Assets,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Even if we are able to acquire Electronics Assets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anticipated Electronics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declaring bankruptcy, or other strategic alternatives.</w:t>
      </w:r>
    </w:p>
    <w:p>
      <w:pPr>
        <w:spacing w:after="0" w:line="1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AI technologies, model architectures, software optimization and customer procurement strategies may reduce demand for the types of Electronics Assets we expect to acquire or may shift value to participants other than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Electronics Assets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 technological developments or changes in customer behavior reduce demand for the assets we acquire, compress pricing, shorten deployment periods or otherwise diminish the economics of our anticipated business model, our business and prospects could be materially adversely affected.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 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anticipated offerings does not materialize, our strategy may not succeed.</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markets for GPUs and related computing infrastructure are characterized by rapid technological change, vendor concentration and supply-chain dependencies, including dependencies involving advanced chip fabrication, and our Electronics Assets may become obsolete or less available more quickly than we expect.</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value of GPUs and related high-performance computing infrastructure depends in significant part on technological relevance, performance, efficiency, software compatibility, customer preferences, vendor roadmaps and the pace of product innovation. These factors may change rapidly. New generations of equipment may render existing Electronics Assets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including Taiwan Semiconductor Manufacturing Company (“TSMC”) or other key semiconductor manufacturing or advanced-packaging providers, could materially affect the availability, cost, timing, performance characteristics or commercial value of the Electronics Assets we seek to acquire or monetize.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the Electronics Assets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Electronics Assets may be adversely affected in ways that are difficult to predict. Any such developments could materially adversely affect our business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acquire Electronics Assets at prices that do not permit us to earn acceptable returns.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markets for GPUs and related infrastructure are highly competitive, supply-constrained and subject to pricing volatility. As a result, we may acquire Electronics Assets at elevated prices or on terms that later prove unattractive. The profitability of our anticipated business would depend on our ability to acquire assets at prices that permit attractive monetization, taking into account financing costs, carrying costs, utilization rates, residual value risk, operational expenses, maintenance, insurance and other factors. If we overpay for Electronics Assets, if market prices for such assets decline after acquisition, if customer pricing weakens, if utilization is lower than expected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financing costs rise, the returns on our assets may be materially lower than anticipated, and we may incur losses. Our ability to forecast the value and returns of Electronics Assets may be limited, particularly given our lack of operating history in this business.</w:t>
      </w:r>
    </w:p>
    <w:p>
      <w:pPr>
        <w:spacing w:after="0" w:line="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source sufficient Electronics Assets on acceptable terms, in desired quantities or on a timely basis due to supply constraints, allocation practices and concentrated industry dependencies, including dependencies relating to TSMC and other key supply-chain participants.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anticipated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TSMC and other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Electronics Assets. We will also face competition from larger or more established buyers with stronger relationships, greater purchasing power and more technical expertise. If we are unable to source suitable Electronics Assets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w:t>
      </w:r>
    </w:p>
    <w:p>
      <w:pPr>
        <w:spacing w:after="0" w:line="1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anticipated business model depends on assumptions regarding customer demand, pricing, utilization, residual values and monetization opportunities that may prove incorrect.</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expect that the Electronics Infrastructure Business may involve sales, leases, sale/lease-back transactions and other monetization structures. The success of these arrangements would depend on numerous assumptions, including assumptions regarding demand from potential customers, the pricing they are willing to pay, contract duration, uptime requirements, asset utilization, residual values, maintenance costs, power and hosting costs, financing costs, counterparty creditworthiness and the availability of secondary market opportunities. If any of these assumptions prove to be incorrect, our anticipated business model may not be viable or may be materially less profitable than we currently expect. In particular, lower-than-expected utilization, pricing pressure, higher-than-expected costs, counterparty defaults or lower residual values could materially adversely affect our revenues, margins, asset values and overall business.</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enter into profitable leases, sale/lease-back transactions or other monetization arrangements, the anticipated Electronics Infrastructure Business may fail.</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anticipated strategy contemplates the monetization of Electronics Assets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Electronics Assets may remain underutilized or idle, our returns may be materially impaired and our anticipated business may not be successful.</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revenues may be concentrated in a small number of customers, counterparties, transactions or assets, and the loss of any significant customer or transaction could materially harm us.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our anticipated Electronics Infrastructure Business would be early stage, we may initially depend on a small number of customers, transactions, financing sources, vendors, facilities or asset deployments. As a result, our revenues and business prospects may be highly concentrated. The loss, reduction, delay, default, insolvency or dispute involving any significant customer or counterparty could materially adversely affect our revenues,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w:t>
      </w:r>
    </w:p>
    <w:p>
      <w:pPr>
        <w:spacing w:after="0" w:line="1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Counterparties to our leases, monetization arrangements or other transactions may default, terminate early, fail to renew or otherwise not perform as expected.</w:t>
      </w:r>
    </w:p>
    <w:p>
      <w:pPr>
        <w:spacing w:after="0" w:line="3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enter into leases, sale/lease-back transactions, financing arrangements, hosting agreements or other commercial contracts, we will be exposed to counterparty credit, performance and enforcement risk. Our 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Electronics Assets,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anticipated Electronics Infrastructure Business may be exposed to residual value risk and remarketing risk.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we acquire Electronics Assets and seek to monetize them through leases, sale/lease-back transactions or other arrangements, the returns on those assets may depend in part on the residual value of the assets at the end of 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Electronics Assets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w:t>
      </w:r>
    </w:p>
    <w:p>
      <w:pPr>
        <w:spacing w:after="0" w:line="1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anticipated Electronics Infrastructure Business requires specialized technical, operational, commercial and financial expertise that we may be unable to attract, retain or develop, and our current personnel may have limited experience in this business.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successful implementation of our anticipated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Historically, our management team and employees have operated a consumer footwear and apparel business, and we may have limited institutional knowledge and capabilities in the computing infrastructure and AI ecosystem. Such personnel are in high demand and may command compensation packages that are significantly greater than those we have historically paid.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retain and develop the personnel necessary to operate the business, our strategy may not succeed.</w:t>
      </w:r>
    </w:p>
    <w:p>
      <w:pPr>
        <w:spacing w:after="0" w:line="1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substantial difficulties integrating new personnel and establishing an organization capable of operating the anticipated Electronics Infrastructure Business.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the anticipated business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implement workforce reductions, and related costs and legal compliance requirements could be significant and could expose us to litigation, regulatory scrutiny or reputational harm.</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Following the Asset Sale and during the transition to our anticipated Electronics Infrastructure Business, we may determine that workforce reductions, restructurings or other organizational changes are necessary. Such actions could result in substantial costs, including severance, retention, benefits, outplacement and other charges. Workforce reductions may also require us to comply with applicable employment and labor laws, including notice requirements such as those under the Worker Adjustment and Retraining Notification (WARN) Act and similar state and local laws, and any failure to comply could result in fines, penalties, damages and litigation. In addition, workforce reductions may adversely affect morale, productivity, institutional knowledge, our ability to attract and retain talent and our ability to implement our strategy, any of which could materially adversely affect our business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and Board may be distracted by the Asset Sale, financing transactions, litigation risk, and organizational transition.</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matters currently being undertaken by our management involve substantial complexity and may require significant time and attention from our management team and Board. In addition to the execution of the Asset Sale and the contemplated financing, we must manage the sale and transition of the Company’s historical business, develop and implement a new strategy, address public company obligations, and communicate with investors and stakeholders. These demands may divert management and Board attention from the day-to-day development and execution of the Electronics Infrastructure Business and may impair our ability to make timely and effective operational decisions. If our management team and Board are unable to manage these multiple priorities successfully, our business and prospects could be materially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build new systems, policies, procedures and internal controls and failures in doing so could harm us.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Electronics Infrastructure Business would likely require new or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significant losses arising from equipment failures, downtime, maintenance issues, defects, damage or other operational disruptions.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Electronics Assets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Electronics Assets could be materially impaired. In addition, equipment failures or disruptions could harm our reputation, reduce customer trust and materially adversely affect our revenues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anticipated business may expose us to additional cybersecurity, data security, technology integrity and related risks.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our role in any given transaction may vary, ownership, deployment, hosting or monetization of Electronics Assets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anticipated business develops, these risks may increase in significance.</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depend on third parties across a concentrated and complex supply chain for hosting, operation, logistics, maintenance, procurement, manufacturing and other critical functions, and failures by those third parties could materially harm us.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anticipated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 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asset concentration risk.</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Especially during the early stages of our anticipated Electronics Infrastructure Business, we may invest in a limited number of high-value Electronics Assets,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face vendor concentration risk, including risk arising from reliance on a small number of chip designers, semiconductor manufacturers, foundries, packaging providers and other concentrated supply-chain participants.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market for GPUs and related computing infrastructure may depend on a limited number of manufacturers, chip designers, foundries, advanced-packaging providers, memory suppliers, networking vendors, distributors, resellers or other supply channels. To the extent our anticipated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In addition, many advanced AI systems depend on highly concentrated semiconductor manufacturing and packaging ecosystems, including TSMC and other key industry participants.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Electronics Assets. Our dependence on a limited number of vendors and industry participants could materially and adversely affect our anticipated business.</w:t>
      </w:r>
    </w:p>
    <w:p>
      <w:pPr>
        <w:spacing w:after="0" w:line="1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Disruptions affecting TSMC, Taiwan or other critical semiconductor manufacturing hubs could materially impair the availability, cost and value of the Electronics Assets on which our anticipated business would depend.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significant portion of the global supply of advanced semiconductors used in high-performance computing and AI applications is manufactured, directly or indirectly, through highly concentrated supply chains centered in Taiwan and involving TSMC and other specialized industry participants. As a result, natural disasters, power shortages, water shortages, industrial accidents, cyber incidents, equipment failures, labor disruptions, export controls, trade restrictions, sanctions, blockades, military activity, heightened tensions between China and Taiwan, changes in U.S. or foreign policy, or other geopolitical or operational disruptions affecting Taiwan, TSMC or related suppliers could materially reduce the availability of advanced GPUs and related components, increase lead times and costs, or cause abrupt changes in market pricing and allocation. Any such event could impair our ability to acquire Electronics Assets, delay deployments, reduce utilization, increase capital requirements, adversely affect residual values and materially harm our business,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logistics, transportation and custody risks.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Electronics Assets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chain-of-custody disputes and other logistics-related issues. Such risks may be heightened when assets are moved among facilities, across jurisdictions or through third-party logistics networks. If Electronics Assets are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anticipated Electronics Infrastructure Business may be adversely affected by export controls, trade restrictions, tariffs, sanctions and other geopolitical or regulatory developments.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w:t>
      </w:r>
    </w:p>
    <w:p>
      <w:pPr>
        <w:spacing w:after="0" w:line="3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law, regulation or government policy relating to artificial intelligence, advanced computing, energy usage, environmental matters or data center operations could materially adversely affect us.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Electronics Assets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anticipated business may depend on power availability, electricity pricing, cooling capacity and other infrastructure conditions that are beyond our control.</w:t>
      </w:r>
    </w:p>
    <w:p>
      <w:pPr>
        <w:spacing w:after="0" w:line="3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High-performance computing equipment may require substantial electrical power, cooling capacity, networking resources and suitable physical infrastructure. Power availability and pricing, cooling requirements, transmission constraints, facility availability and related infrastructure limitations may materially affect the cost, feasibility, location and profitability of deploying Electronics Assets.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grid constraints or geopolitical events. If we are unable to obtain suitable infrastructure conditions on acceptable terms, our anticipated business may be materially adversely affected.</w:t>
      </w:r>
    </w:p>
    <w:p>
      <w:pPr>
        <w:spacing w:after="0" w:line="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record significant impairment charges, valuation adjustments or other accounting charges relating to Electronics Assets or our continuing operations.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value of Electronics Assets may fluctuate significantly due to technological change, market conditions, pricing trends, utilization levels, residual value expectations, changes in financing costs or other factors. If the carrying value of any Electronics Assets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may not adequately cover losses associated with Electronics Assets, technology operations, business interruption, cyber incidents or other claims.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anticipated business.</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Investors may have difficulty evaluating our future prospects because, after the Asset Sale, we may continue as a public company with a limited operating history in a new business and no historical information relevant to that business.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Asset Sale, investors will have no historical financial information relevant to the anticipated Electronics Infrastructure Business. Our historical financial statements primarily reflect a materially different business. Accordingly, historical results may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maintain effective disclosure controls and procedures or internal control over financial reporting.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accounting policies, judgments and financial reporting for the Electronics Infrastructure Business and the related financing arrangements are evolving, and we may be required to change our accounting treatment, which could result in additional costs, delays, volatility in our reported results or restatements.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Electronics Infrastructure Business and the related acquisition, ownership and monetization of Electronics Assets, as well as the Facility and other financing arrangements, may involve accounting questions that require significant judgment and may not be fully resolved until we have additional information, complete further analysis or finalize our processes and systems. Our conclusions regarding critical accounting policies, unusual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derivative and embedded derivative accounting, revenue recognition, asset lives, residual values, impairments, contingencies and other matters could change as we implement the new business, obtain additional guidance or interpret evolving facts and circumstances. Any changes in accounting treatment, the identification of additional accounting policies, the adoption of new controls and processes, or the discovery of errors or control deficiencies could require us to record additional charges, revise prior-period financial statements, delay the issuance of financial statements or other reports, or provide additional disclosures, any of which could adversely affect investor confidence, increase costs, expose us to claims and materially adversely affect the market price of our Class A common stock.</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proposed change in our corporate identity and strategic direction may create confusion, reduce credibility and harm our ability to establish the anticipated new business.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Following the Asset Sale, we intend to change our corporate name and cease operating the historical Allbirds footwear business. Our Board of Directors has not yet made a final decision on a new name for the company.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transition away from our historical business and public benefit may adversely affect stakeholder relationships and may give rise to additional disputes or claims.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Following the Asset Sale, we would no longer operate the historical business associated with the Allbirds brand and would no longer continue as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substantial stockholder litigation, derivative litigation, securities claims, books-and-records demands and other proceedings in connection with the Asset Sale, the Nasdaq Proposal and Facility, or the transition to the Electronics Infrastructure Business.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Transactions and strategic changes often give rise to litigation and other proceedings. In addition to litigation relating to the Asset Sale, we may face claims and demands arising from the Facility, the issuance or potential issuance of securities, alleged dilution, the change in our corporate name and strategy, the elimination of our public benefit corporation status, the adequacy of our disclosures, the role of the Board and management in evaluating and approving the transactions, the rights of holders of Convertible Notes and the possibility that the anticipated Electronics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 disputes and regulatory inquiries or investigations, including claims that may be asserted even if prior matters have been dismissed, settled or otherwise resolved.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litigation, investigation or claim relating to our proposed new business or the matters described in the proxy statement could delay our plans, divert management attention and materially harm us.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Even if any claims asserted against us are without merit, litigation and investigations can be expensive, time-consuming and disruptive. They may divert management attention from implementing our strategy, impair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ability to complete the Asset Sale or financing transactions,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may accompany the matters described in the proxy statement. Any such matters could materially adversely affect our business and stockholders.</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face disputes, litigation and other liabilities relating to the wind-down of our legacy retail operations, including store closures and lease termination matters.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wind-down of our historical footwear business, we have closed all of our full price retail locations in the United States. These closures have given rise, and may continue to give rise, to disputes with landlords and other third parties, including claims relating to lease terminations, alleged defaults, restoration obligations, rent concessions, security deposits, guaranties, indemnities and related matters. These matters may result in litigation, arbitration, settlements, judgments or other liabilities and could require significant management attention, result in material expense and adversely affect our liquidity and our ability to fund and execute our continuing business strategy.</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any prior securities litigation has been resolved, we remain subject to significant securities litigation risk, which could increase as we pursue financings, experience stock price volatility or transition to a new business.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stock price may be volatile and our proposed transactions, financings and strategic transition may attract heightened investor attention and scrutiny. Even if claims asserted against us in the past have been dismissed, settled or otherwise resolved, we may be subject to new or renewed litigation, regulatory inquiries, stockholder demands or other proceedings relating to our disclosures, stock price movements, financings, alleged dilution, governance matters or the success or viability of our continuing business strategy. Defending such matters, regardless of merit, could be costly and time-consuming, could divert management’s attention, could result in significant settlement amounts, damages, fines or other penalties and could materially adversely affect our business, financial condition,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anticipated Electronics Infrastructure Business is unsuccessful, we may be unable to continue as a going concern.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success of our continuing business plan is uncertain. If we are unable to implement the anticipated Electronics Infrastructure Business successfully, generate meaningful revenues, raise sufficient capital, manage costs, satisfy obligations or otherwise sustain operations, we may not be able to continue as a going concern. As described in our Annual Report on Form 10-K for the year ended December 31, 2025, our audited financial statements include disclosure that conditions and events raise substantial doubt about our ability to continue as a going concern. In such event, we may need to seek additional financing, sell assets, drastically reduce operations, restructure obligations, or pursue strategic transactions. Any such outcome could materially reduce or eliminate value for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may not realize the benefits they expect from the proposed transactions and may lose all or a substantial portion of their investment.</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Asset Sale and anticipated Electronics Infrastructure Business may not produce the benefits that stockholders expect. The Company may fail to execute its continuing business strategy, may experience severe stock price volatility, may be unable to maintain its Nasdaq listing, may incur substantial litigation or financing costs, may be unable to raise additional capital and may ultimately fail. If one or more of these risks materialize, the market price of our Class A common stock could decline materially, and stockholders could lose all or a substantial portion of their investment.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company costs may consume a disproportionate amount of our remaining resources.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Following the Asset Sale,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communications and other administrative and compliance functions. If our continuing operating business remains limited, develops more slowly than expected or fails to generate meaningful revenues, these costs may represent a disproportionate burden on our liquidity and financial resources. As a result, a significant portion of our available capital may be consumed by public company obligations rather than by investment in the anticipated Electronics Infrastructure Business. If public company costs are greater than expected, or if our remaining resources are less than expected, our ability to execute our strategy, remain listed on Nasdaq, maintain operations and create stockholder value could be materially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maintain analyst coverage, institutional investor interest or market support.</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the Company would be transitioning away from its historical footwear business and toward a new and largely unproven Electronics Infrastructure Business, 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anticipated post-Asset Sale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tax risks associated with asset acquisitions, leasing structures, sale/lease-back transactions and other monetization arrangements.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anticipated Electronics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anticipated business may be uncertain and may depend on highly technical rules and factual 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obtain favorable accounting treatment for aspects of our anticipated monetization structures.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accounting treatment of leases, sale/lease-back transactions, structured financings, revenue arrangements, residual interests and other monetization structures may be complex and may require significant 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Relating to the Charter Amendment Proposal</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Charter Amendment Proposal is approved, we will no longer be required to operate for the purposes included in our initial charter, which may harm our relationships with stakeholders and may adversely affect perceptions of our continuing business strategy and governance.</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we are no longer operating as a Delaware public benefit corporation, customers, employees, business partners, investors and other stakeholders may view that change negatively. Our current status as a public benefit corporation requires that we produce a public benefit and operate in a responsible and sustainable manner, while balancing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stockholders’ pecuniary interests, the best interests of those materially affected by our conduct, and the specific public benefit of environmental conservation that is identified by our Certificate of Incorporation. Eliminating that status could damage our reputation, adversely affect our ability to attract and retain customers, employees and partners, and negatively impact our business, financial condition and results of operations. If the Charter Amendment Proposal is adopted, we would be operated in the best interests of our stockholders, without balancing the best interests of our stockholders against the public benefit of environmental conservation.</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legal, governance, disclosure, and other implications of transitioning away from our public benefit corporation status and implementing the related charter changes may continue to evolve, and we may incur additional costs, face delays, or become subject to additional disputes or claims in connection with implementing these changes.</w:t>
      </w:r>
    </w:p>
    <w:p>
      <w:pPr>
        <w:spacing w:after="0" w:line="10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Amending our charter as proposed in the Charter Amendment Proposal could subject us to stockholder, stakeholder or other disputes, litigation or claims, including claims relating to our change in business model, identity and disclosures.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Governance changes may give rise to litigation, books-and-records demands, stockholder claims or other disputes. Some institutional investors, impact investors, ESG-focused investors and other stockholders may value our current commitment to the specific public benefit identified in our Certificate of Incorporation and may sell their stock or make claims with respect to the change in focus of the Company. Any such matters, whether or not meritorious, could be time-consuming and expensive, divert management’s attention, delay or complicate the implementation of the proposed transition and result in significant legal, advisory and other costs. Any of these matters could adversely affect our reputation, business and financial condition and reduce funds otherwise available for operations or future stockholder value.</w:t>
      </w:r>
    </w:p>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Charter Amendment Proposal is not approved by our stockholders, we will remain a Delaware public benefit corporation, which could create uncertainty regarding our ability to pursue the anticipated Electronics Infrastructure Business and could expose us to additional claims, governance challenges and operational constraints.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our stockholders do not approve the Charter Amendment Proposal, our Certificate of Incorporation will continue to designate us as a Delaware public benefit corporation with a stated public benefit of environmental conservation. Under the Delaware General Corporation Law, the board of directors of a public benefit corporation is required to manage the business and affairs of the corporation in a manner that balances the pecuniary interests of the stockholders, the best interests of those materially affected by the corporation’s conduct, and the specific public benefit identified in our Certificate of Incorporation. If we remain a public benefit corporation while pursuing the anticipated Electronics Infrastructure Business, there may be uncertainty as to whether and to what extent the operation of a computing infrastructure and GPU leasing business is consistent with our stated public benefit purpose of environmental conservation. This uncertainty could give rise to claims by stockholders, stakeholders or other parties that our board of directors is not managing the corporation in accordance with its charter obligations, that our pursuit of the Electronics Infrastructure Business is inconsistent with or in tension with our public benefit purpose, or that the board has breached its fiduciary duties under the public benefit corporation framework. Any such claims, whether or not meritorious, could be time-consuming, expensive and distracting to management, and could result in injunctive relief, settlements, damages or other adverse outcomes that could materially affect our business, financial condition and prospects.</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our continued status as a public benefit corporation could create practical difficulties in operating the Electronics Infrastructure Business, including uncertainty regarding the scope of permissible activities, potential constraints on business strategy and capital allocation decisions, reputational challenges with counterparties, customers or investors who may question the alignment between the purpose listed in our Certificate of Incorporation and our actual operations, and potential complications in obtaining legal opinions or other certifications that may be required in connection with financings, securities offerings or other transactions. If we are unable to amend our Certificate of Incorporation, we may need to seek alternative means of addressing these issues, which could be costly and uncertain, or we may face ongoing governance and operational challenges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materially adversely affect our ability to execute our business plan and the market price of our Class A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Related to the Nasdaq Proposal</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Approval of the Nasdaq Proposal would permit the issuance of a significant number of additional shares of common stock, which would dilute existing stockholders and future financings may result in additional and substantial dilution.</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this proposal is approved, we may issue a substantial number of additional shares of common stock upon conversion of the Convertible Notes in excess of the 19.99% limit otherwise imposed by Nasdaq Listing Rule 5635(d). Any such issuance would dilute the ownership interests of existing stockholders, including their voting power and economic rights, and could reduce existing stockholders’ proportionate interest in the Company. Such dilution could be material. In addition, because the anticipated Electronics Infrastructure Business may require substantial additional capital beyond the Facility, we may in the future issue additional equity securities or equity-linked securities, which could result in further dilution, potentially at prices below the then-current market price of our Class A common stock.</w:t>
      </w:r>
    </w:p>
    <w:p>
      <w:pPr>
        <w:spacing w:after="0" w:line="1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maintain the listing of our Class A common stock on Nasdaq following the Asset Sale is highly uncertain, and if we are unable to satisfy Nasdaq’s continued listing requirements, our Class A common stock could be delisted.</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Following the Asset Sale,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Asset Sale, investors may view us as an operating company with limited assets or operations pending implementation of our new business plan, which could adversely affect trading in our Class A common stock and our ability to satisfy applicable listing standards. This risk may be heightened because, after the Asset Sale, we will be viewed as a company seeking to build a speculative new business in a new industry with limited operating history, extremely limited capital and uncertain prospects. If Nasdaq determines that we no longer meet one or more of its continued listing requirements, our Class A common stock could be delisted. A delisting would likely adversely affect the liquidity and market price of our 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issuance of shares pursuant to this proposal could adversely affect the market price of our Class A common stock.</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issuance of a large number of additional shares of common stock, or the perception that such issuances may occur, could depress the market price of our Class A common stock or increase volatility in the trading price of our common stock. The market impact could be exacerbated by uncertainty regarding the number of shares ultimately issuable, including as a result of anti-dilution adjustments, variable conversion features, or fluctuations in the market price of our Class A common stock.</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increase in the market price of our Class A common stock price associated with the Nasdaq proposal, or any of the other matters described in the proxy statement may not be sustained.</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stock price may increase in response to the announcement of the Asset Sale, the anticipated Electronics Infrastructure Business, and the Facility for reasons that may include speculation, momentum trading, media attention or investor enthusiasm regarding artificial intelligence and related infrastructure themes, rather than financial, operating or market fundamentals. Any such increase may not be sustained and could reverse sharply.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unable to predict the total number of shares of common stock that may ultimately be issued if this proposal is approved and stockholders may not be able to assess the full extent of dilution or market overhang.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the number of shares issuable upon conversion will depend on future events, including market prices, conversion decisions by security holders, and the operation of adjustment provisions in the Purchase Agreement and Convertible Notes, we are unable to predict with certainty the total number of shares that may ultimately be issued if this proposal is approved. As a result, stockholders may not be able to determine at this time the full extent of the dilution that could occur. The uncertainty regarding the number of shares that may be issued, including shares that may be issuable at discounted or variable prices, may itself create market overhang and adversely affect the market price of our Class A common stock.</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this proposal is not approved, our financing and liquidity could be adversely affected and we may be unable to implement our anticipated continuing business strategy.</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stockholders do not approve the Nasdaq Proposal, the contractual limits on conversions or issuances in excess of 19.99% of our outstanding common stock will remain in effect. As a result, we may be required to satisfy our obligations in cash rather than shares, we would have reduced ability to access additional capital under the facility, we would have reduced flexibility in managing our capital structure, and we may be unable to raise additional capital or negotiate future financing transactions on acceptable terms, if at all. If we are unable to access sufficient capital, we may be unable to purchase Electronics Assets, develop the anticipated Electronics Infrastructure Business, satisfy our obligations under the Facility, remain listed on Nasdaq or continue operating as a going concern. Any of these outcomes could adversely affect our liquidity, financial condition, and ability to continue as a going concern.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Approval of this proposal may increase the influence of holders of Convertible Notes and may create governance, control or conflict concerns.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 the extent shares of common stock are issued upon the conversion of Convertible Notes following stockholder approval, the holders of Convertible Notes may acquire a larger ownership position in the Company.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This could increase any holder’s voting influence over matters submitted to stockholders and could affect the outcome of future corporate actions. In addition, any holder’s rights under the financing documents, including rights relating to future financings and the right to appoint a new Chief Operating Officer, may create governance concerns, perceived or actual conflicts of interest, management integration issues or strategic constraints.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Ownership of Our Common Stock</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Assuming that the Asset Sale Proposal is approved and consummated, because our historical operating business would be sold and our anticipated business is highly uncertain, speculative, unproven and subject to significant risks, investors may have difficulty valuing our Class A common stock.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Following the Asset Sale, our Class A common stock may trade based on limited information, evolving assumptions, market sentiment and speculation regarding our anticipated Electronics Infrastructure Business, rather than established operating results. This may result in significant mispricing, elevated volatility and sudden declines in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Social media and online forums may contribute to increased volatility in our Class A common stock price and create risks of market manipulation.</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recent years, securities of certain companies have experienced extreme price volatility driven in part by activity on social media platforms and online forums, sometimes referred to as “meme stock” dynamics. This volatility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often unrelated to the underlying performance or fundamentals of the companies involved and can be driven by retail investor sentiment, coordinated trading activity, or viral attention. Following the disclosure of the matters set forth herein,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Class A common stock, regardless of the accuracy of such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 selling of our Class A common stock could increase the volatility of our Class A common stock price and adversely affect its market price.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w:t>
      </w:r>
    </w:p>
    <w:p>
      <w:pPr>
        <w:spacing w:after="0" w:line="11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Active trading of options on our Class A common stock could increase volatility in our Class A common stock price and adversely affect the market for our securities.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Options on our Class A common stock are traded on securities exchanges and over-the-counter markets. Activity in these markets, including hedging, arbitrage, and speculative strategies, can lead to significant buying 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Sales of substantial amounts of our Class A or Class B common stock by our directors, officers, or significant stockholders, or the perception that such sales may occur, could adversely affect the market price of our Class A common stock.</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Sales of substantial amounts of our Class A or Class B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Unregistered Sales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Stock Repurchases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Director and Section 16 Officer Rule 10b5-1 Trading Arrangements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No directors or Section 16 officers of the Company adopted or terminated a “Rule 10b5-1 trading arrangement” or “non-Rule 10b5-1 trading arrangement,” as each term is defined in Item 408(a) of Regulation S-K, during the three months ended March 31, 2026.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documents listed in the Exhibit Index of this Quarterly Report on Form 10-Q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60" w:type="dxa"/>
            <w:vAlign w:val="bottom"/>
            <w:gridSpan w:val="2"/>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12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98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0" w:type="dxa"/>
            <w:vAlign w:val="bottom"/>
          </w:tcPr>
          <w:p>
            <w:pPr>
              <w:spacing w:after="0"/>
              <w:rPr>
                <w:sz w:val="1"/>
                <w:szCs w:val="1"/>
                <w:color w:val="auto"/>
              </w:rPr>
            </w:pPr>
          </w:p>
        </w:tc>
      </w:tr>
      <w:tr>
        <w:trPr>
          <w:trHeight w:val="187"/>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980" w:type="dxa"/>
            <w:vAlign w:val="bottom"/>
            <w:gridSpan w:val="14"/>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880" w:type="dxa"/>
            <w:vAlign w:val="bottom"/>
            <w:tcBorders>
              <w:top w:val="single" w:sz="8" w:color="auto"/>
            </w:tcBorders>
            <w:gridSpan w:val="13"/>
          </w:tcPr>
          <w:p>
            <w:pPr>
              <w:spacing w:after="0" w:line="165" w:lineRule="exact"/>
              <w:rPr>
                <w:sz w:val="20"/>
                <w:szCs w:val="20"/>
                <w:color w:val="auto"/>
              </w:rPr>
            </w:pPr>
            <w:r>
              <w:rPr>
                <w:rFonts w:ascii="Times New Roman" w:cs="Times New Roman" w:eastAsia="Times New Roman" w:hAnsi="Times New Roman"/>
                <w:sz w:val="17"/>
                <w:szCs w:val="17"/>
                <w:color w:val="auto"/>
              </w:rPr>
              <w:t>Asset Purchase Agreement, dated as of March 29, 2026, by and</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7"/>
                <w:szCs w:val="17"/>
                <w:color w:val="auto"/>
                <w:w w:val="98"/>
              </w:rPr>
              <w:t>8-K</w:t>
            </w:r>
          </w:p>
        </w:tc>
        <w:tc>
          <w:tcPr>
            <w:tcW w:w="80" w:type="dxa"/>
            <w:vAlign w:val="bottom"/>
          </w:tcPr>
          <w:p>
            <w:pPr>
              <w:spacing w:after="0"/>
              <w:rPr>
                <w:sz w:val="14"/>
                <w:szCs w:val="14"/>
                <w:color w:val="auto"/>
              </w:rPr>
            </w:pPr>
          </w:p>
        </w:tc>
        <w:tc>
          <w:tcPr>
            <w:tcW w:w="1380" w:type="dxa"/>
            <w:vAlign w:val="bottom"/>
            <w:tcBorders>
              <w:top w:val="single" w:sz="8" w:color="auto"/>
            </w:tcBorders>
          </w:tcPr>
          <w:p>
            <w:pPr>
              <w:ind w:left="320"/>
              <w:spacing w:after="0" w:line="165" w:lineRule="exact"/>
              <w:rPr>
                <w:sz w:val="20"/>
                <w:szCs w:val="20"/>
                <w:color w:val="auto"/>
              </w:rPr>
            </w:pPr>
            <w:r>
              <w:rPr>
                <w:rFonts w:ascii="Times New Roman" w:cs="Times New Roman" w:eastAsia="Times New Roman" w:hAnsi="Times New Roman"/>
                <w:sz w:val="17"/>
                <w:szCs w:val="17"/>
                <w:color w:val="auto"/>
              </w:rPr>
              <w:t>001-40963</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7"/>
                <w:szCs w:val="17"/>
                <w:color w:val="auto"/>
                <w:w w:val="99"/>
              </w:rPr>
              <w:t>March 31, 2026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between Allbirds, Inc. and Allbirds IP LLC</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line="189"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Ninth Amended and Restated Certificate of Incorporation of the</w:t>
              </w:r>
            </w:hyperlink>
          </w:p>
        </w:tc>
        <w:tc>
          <w:tcPr>
            <w:tcW w:w="10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001-40963</w:t>
            </w: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November 5,</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7"/>
              </w:rPr>
            </w:pPr>
            <w:hyperlink r:id="rId89">
              <w:r>
                <w:rPr>
                  <w:rFonts w:ascii="Times New Roman" w:cs="Times New Roman" w:eastAsia="Times New Roman" w:hAnsi="Times New Roman"/>
                  <w:sz w:val="17"/>
                  <w:szCs w:val="17"/>
                  <w:color w:val="0000FF"/>
                  <w:w w:val="97"/>
                </w:rPr>
                <w:t>Registrant.</w:t>
              </w:r>
            </w:hyperlink>
          </w:p>
        </w:tc>
        <w:tc>
          <w:tcPr>
            <w:tcW w:w="3640" w:type="dxa"/>
            <w:vAlign w:val="bottom"/>
            <w:tcBorders>
              <w:top w:val="single" w:sz="8" w:color="0000FF"/>
            </w:tcBorders>
            <w:gridSpan w:val="6"/>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14"/>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Certificate of Amendment to the Ninth Amended and Restated</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001-40963</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30, 2024</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Certificate of Incorporation of the Registrant</w:t>
              </w:r>
              <w:r>
                <w:rPr>
                  <w:rFonts w:ascii="Times New Roman" w:cs="Times New Roman" w:eastAsia="Times New Roman" w:hAnsi="Times New Roman"/>
                  <w:sz w:val="17"/>
                  <w:szCs w:val="17"/>
                  <w:color w:val="000000"/>
                </w:rPr>
                <w:t>.</w:t>
              </w:r>
            </w:hyperlink>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Amended and Restated Bylaws of the Registrant.</w:t>
              </w:r>
            </w:hyperlink>
          </w:p>
        </w:tc>
        <w:tc>
          <w:tcPr>
            <w:tcW w:w="1600" w:type="dxa"/>
            <w:vAlign w:val="bottom"/>
            <w:gridSpan w:val="9"/>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001-40963</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21, 2023</w:t>
            </w:r>
          </w:p>
        </w:tc>
        <w:tc>
          <w:tcPr>
            <w:tcW w:w="0" w:type="dxa"/>
            <w:vAlign w:val="bottom"/>
          </w:tcPr>
          <w:p>
            <w:pPr>
              <w:spacing w:after="0"/>
              <w:rPr>
                <w:sz w:val="1"/>
                <w:szCs w:val="1"/>
                <w:color w:val="auto"/>
              </w:rPr>
            </w:pPr>
          </w:p>
        </w:tc>
      </w:tr>
      <w:tr>
        <w:trPr>
          <w:trHeight w:val="186"/>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line="186" w:lineRule="exact"/>
              <w:rPr>
                <w:sz w:val="20"/>
                <w:szCs w:val="20"/>
                <w:color w:val="auto"/>
              </w:rPr>
            </w:pPr>
            <w:r>
              <w:rPr>
                <w:rFonts w:ascii="Times New Roman" w:cs="Times New Roman" w:eastAsia="Times New Roman" w:hAnsi="Times New Roman"/>
                <w:sz w:val="17"/>
                <w:szCs w:val="17"/>
                <w:color w:val="auto"/>
              </w:rPr>
              <w:t>Consent and First Amendment to Credit Agreement, dated as of</w:t>
            </w:r>
          </w:p>
        </w:tc>
        <w:tc>
          <w:tcPr>
            <w:tcW w:w="100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7"/>
                <w:szCs w:val="17"/>
                <w:color w:val="auto"/>
                <w:w w:val="98"/>
              </w:rPr>
              <w:t>8-K</w:t>
            </w:r>
          </w:p>
        </w:tc>
        <w:tc>
          <w:tcPr>
            <w:tcW w:w="1380" w:type="dxa"/>
            <w:vAlign w:val="bottom"/>
          </w:tcPr>
          <w:p>
            <w:pPr>
              <w:ind w:left="320"/>
              <w:spacing w:after="0" w:line="186" w:lineRule="exact"/>
              <w:rPr>
                <w:sz w:val="20"/>
                <w:szCs w:val="20"/>
                <w:color w:val="auto"/>
              </w:rPr>
            </w:pPr>
            <w:r>
              <w:rPr>
                <w:rFonts w:ascii="Times New Roman" w:cs="Times New Roman" w:eastAsia="Times New Roman" w:hAnsi="Times New Roman"/>
                <w:sz w:val="17"/>
                <w:szCs w:val="17"/>
                <w:color w:val="auto"/>
              </w:rPr>
              <w:t>001-40963</w:t>
            </w:r>
          </w:p>
        </w:tc>
        <w:tc>
          <w:tcPr>
            <w:tcW w:w="10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6"/>
                <w:szCs w:val="16"/>
                <w:color w:val="auto"/>
              </w:rPr>
            </w:pPr>
          </w:p>
        </w:tc>
        <w:tc>
          <w:tcPr>
            <w:tcW w:w="120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March 31, 2026</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4"/>
          </w:tcPr>
          <w:p>
            <w:pPr>
              <w:spacing w:after="0" w:line="177" w:lineRule="exact"/>
              <w:rPr>
                <w:sz w:val="20"/>
                <w:szCs w:val="20"/>
                <w:color w:val="auto"/>
              </w:rPr>
            </w:pPr>
            <w:r>
              <w:rPr>
                <w:rFonts w:ascii="Times New Roman" w:cs="Times New Roman" w:eastAsia="Times New Roman" w:hAnsi="Times New Roman"/>
                <w:sz w:val="17"/>
                <w:szCs w:val="17"/>
                <w:color w:val="auto"/>
              </w:rPr>
              <w:t>March 29, 2026, by and between Allbirds, Inc., Allbirds International,</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14"/>
          </w:tcPr>
          <w:p>
            <w:pPr>
              <w:spacing w:after="0" w:line="172" w:lineRule="exact"/>
              <w:rPr>
                <w:sz w:val="20"/>
                <w:szCs w:val="20"/>
                <w:color w:val="auto"/>
              </w:rPr>
            </w:pPr>
            <w:r>
              <w:rPr>
                <w:rFonts w:ascii="Times New Roman" w:cs="Times New Roman" w:eastAsia="Times New Roman" w:hAnsi="Times New Roman"/>
                <w:sz w:val="17"/>
                <w:szCs w:val="17"/>
                <w:color w:val="auto"/>
              </w:rPr>
              <w:t>Inc., the Lenders party thereto, and Second Avenue Capital Partners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LLC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Exchange Act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000FF"/>
            </w:tcBorders>
            <w:gridSpan w:val="12"/>
          </w:tcPr>
          <w:p>
            <w:pPr>
              <w:spacing w:after="0" w:line="148" w:lineRule="exact"/>
              <w:rPr>
                <w:sz w:val="20"/>
                <w:szCs w:val="20"/>
                <w:color w:val="auto"/>
              </w:rPr>
            </w:pPr>
            <w:r>
              <w:rPr>
                <w:rFonts w:ascii="Times New Roman" w:cs="Times New Roman" w:eastAsia="Times New Roman" w:hAnsi="Times New Roman"/>
                <w:sz w:val="17"/>
                <w:szCs w:val="17"/>
                <w:color w:val="0000FF"/>
              </w:rPr>
              <w:t>Rules 13a-14(a) and 15d-14(a), as adopted pursuant to Section 302 of</w:t>
            </w:r>
          </w:p>
        </w:tc>
        <w:tc>
          <w:tcPr>
            <w:tcW w:w="18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11"/>
          </w:tcPr>
          <w:p>
            <w:pPr>
              <w:spacing w:after="0" w:line="161"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0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w w:val="99"/>
              </w:rPr>
              <w:t>Rules 13a-14(a) and 15d-14(a), as adopted pursuant to Section 302 of</w:t>
            </w:r>
          </w:p>
        </w:tc>
        <w:tc>
          <w:tcPr>
            <w:tcW w:w="24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11"/>
          </w:tcPr>
          <w:p>
            <w:pPr>
              <w:spacing w:after="0" w:line="161"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0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20" w:type="dxa"/>
            <w:vAlign w:val="bottom"/>
          </w:tcPr>
          <w:p>
            <w:pPr>
              <w:spacing w:after="0"/>
              <w:rPr>
                <w:sz w:val="17"/>
                <w:szCs w:val="17"/>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18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80" w:type="dxa"/>
            <w:vAlign w:val="bottom"/>
            <w:gridSpan w:val="14"/>
          </w:tcPr>
          <w:p>
            <w:pPr>
              <w:spacing w:after="0" w:line="148"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FF"/>
                <w:w w:val="99"/>
              </w:rPr>
              <w:t>Oxley Act of 2002.</w:t>
            </w:r>
          </w:p>
        </w:tc>
        <w:tc>
          <w:tcPr>
            <w:tcW w:w="3220" w:type="dxa"/>
            <w:vAlign w:val="bottom"/>
            <w:tcBorders>
              <w:top w:val="single" w:sz="8" w:color="0000FF"/>
            </w:tcBorders>
            <w:gridSpan w:val="7"/>
          </w:tcPr>
          <w:p>
            <w:pPr>
              <w:spacing w:after="0"/>
              <w:rPr>
                <w:sz w:val="13"/>
                <w:szCs w:val="13"/>
                <w:color w:val="auto"/>
              </w:rPr>
            </w:pPr>
          </w:p>
        </w:tc>
        <w:tc>
          <w:tcPr>
            <w:tcW w:w="44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tcPr>
          <w:p>
            <w:pPr>
              <w:spacing w:after="0"/>
              <w:rPr>
                <w:sz w:val="17"/>
                <w:szCs w:val="17"/>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480" w:type="dxa"/>
            <w:vAlign w:val="bottom"/>
            <w:gridSpan w:val="6"/>
          </w:tcPr>
          <w:p>
            <w:pPr>
              <w:jc w:val="right"/>
              <w:ind w:right="440"/>
              <w:spacing w:after="0"/>
              <w:rPr>
                <w:sz w:val="20"/>
                <w:szCs w:val="20"/>
                <w:color w:val="auto"/>
              </w:rPr>
            </w:pPr>
            <w:r>
              <w:rPr>
                <w:rFonts w:ascii="Times New Roman" w:cs="Times New Roman" w:eastAsia="Times New Roman" w:hAnsi="Times New Roman"/>
                <w:sz w:val="8"/>
                <w:szCs w:val="8"/>
                <w:color w:val="0000FF"/>
                <w:w w:val="73"/>
              </w:rPr>
              <w:t>-</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61" w:lineRule="exact"/>
              <w:rPr>
                <w:sz w:val="20"/>
                <w:szCs w:val="20"/>
                <w:color w:val="auto"/>
              </w:rPr>
            </w:pPr>
            <w:r>
              <w:rPr>
                <w:rFonts w:ascii="Times New Roman" w:cs="Times New Roman" w:eastAsia="Times New Roman" w:hAnsi="Times New Roman"/>
                <w:sz w:val="17"/>
                <w:szCs w:val="17"/>
                <w:color w:val="0000FF"/>
                <w:w w:val="99"/>
              </w:rPr>
              <w:t>Oxley Act of 2002.</w:t>
            </w:r>
          </w:p>
        </w:tc>
        <w:tc>
          <w:tcPr>
            <w:tcW w:w="3220" w:type="dxa"/>
            <w:vAlign w:val="bottom"/>
            <w:tcBorders>
              <w:top w:val="single" w:sz="8" w:color="0000FF"/>
            </w:tcBorders>
            <w:gridSpan w:val="7"/>
          </w:tcPr>
          <w:p>
            <w:pPr>
              <w:spacing w:after="0"/>
              <w:rPr>
                <w:sz w:val="13"/>
                <w:szCs w:val="13"/>
                <w:color w:val="auto"/>
              </w:rPr>
            </w:pPr>
          </w:p>
        </w:tc>
        <w:tc>
          <w:tcPr>
            <w:tcW w:w="44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8"/>
                <w:szCs w:val="18"/>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line="194"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0"/>
                <w:szCs w:val="20"/>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19"/>
                <w:szCs w:val="19"/>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80" w:right="5180" w:hanging="1260"/>
        <w:spacing w:after="0" w:line="232" w:lineRule="auto"/>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Registrant’s Quarterly Report on Form 10-Q for the quarter ended March 31, 2026, has been formatted in Inline XBRL and contained in Exhibits 101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24" w:lineRule="exact"/>
        <w:rPr>
          <w:sz w:val="20"/>
          <w:szCs w:val="20"/>
          <w:color w:val="auto"/>
        </w:rPr>
      </w:pPr>
    </w:p>
    <w:p>
      <w:pPr>
        <w:ind w:left="360" w:hanging="357"/>
        <w:spacing w:after="0"/>
        <w:tabs>
          <w:tab w:leader="none" w:pos="3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8" w:lineRule="exact"/>
        <w:rPr>
          <w:sz w:val="20"/>
          <w:szCs w:val="20"/>
          <w:color w:val="auto"/>
        </w:rPr>
      </w:pPr>
    </w:p>
    <w:p>
      <w:pPr>
        <w:ind w:left="280" w:hanging="277"/>
        <w:spacing w:after="0"/>
        <w:tabs>
          <w:tab w:leader="none" w:pos="2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 management contract or compensatory plan or arrangement.</w:t>
      </w:r>
    </w:p>
    <w:p>
      <w:pPr>
        <w:spacing w:after="0" w:line="11" w:lineRule="exact"/>
        <w:rPr>
          <w:sz w:val="20"/>
          <w:szCs w:val="20"/>
          <w:color w:val="auto"/>
        </w:rPr>
      </w:pPr>
    </w:p>
    <w:p>
      <w:pPr>
        <w:ind w:left="320" w:hanging="317"/>
        <w:spacing w:after="0" w:line="280" w:lineRule="auto"/>
        <w:tabs>
          <w:tab w:leader="none" w:pos="30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Exhibits 32.1 and 32.2 that accompany this Quarterly Report on Form 10-Q are not deemed filed with the SEC and are not to be incorporated by reference into any filing of the Registrant under the Securities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23" w:right="599" w:bottom="1440" w:gutter="0" w:footer="0" w:header="0"/>
        </w:sectPr>
      </w:pPr>
    </w:p>
    <w:bookmarkStart w:id="73" w:name="page74"/>
    <w:bookmarkEnd w:id="73"/>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6780" w:type="dxa"/>
            <w:vAlign w:val="bottom"/>
            <w:gridSpan w:val="2"/>
          </w:tcPr>
          <w:p>
            <w:pPr>
              <w:ind w:left="1940"/>
              <w:spacing w:after="0"/>
              <w:rPr>
                <w:sz w:val="20"/>
                <w:szCs w:val="20"/>
                <w:color w:val="auto"/>
              </w:rPr>
            </w:pPr>
            <w:r>
              <w:rPr>
                <w:rFonts w:ascii="Times New Roman" w:cs="Times New Roman" w:eastAsia="Times New Roman" w:hAnsi="Times New Roman"/>
                <w:sz w:val="17"/>
                <w:szCs w:val="17"/>
                <w:b w:val="1"/>
                <w:bCs w:val="1"/>
                <w:color w:val="auto"/>
              </w:rPr>
              <w:t>ALLBIRDS, INC.</w:t>
            </w:r>
          </w:p>
        </w:tc>
      </w:tr>
      <w:tr>
        <w:trPr>
          <w:trHeight w:val="477"/>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May 14, 2026</w:t>
            </w:r>
          </w:p>
        </w:tc>
        <w:tc>
          <w:tcPr>
            <w:tcW w:w="242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Vernachio</w:t>
            </w:r>
          </w:p>
        </w:tc>
      </w:tr>
      <w:tr>
        <w:trPr>
          <w:trHeight w:val="209"/>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Vernachio</w:t>
            </w:r>
          </w:p>
        </w:tc>
      </w:tr>
      <w:tr>
        <w:trPr>
          <w:trHeight w:val="215"/>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3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64"/>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May 14, 2026</w:t>
            </w:r>
          </w:p>
        </w:tc>
        <w:tc>
          <w:tcPr>
            <w:tcW w:w="242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Ann Mitchell</w:t>
            </w:r>
          </w:p>
        </w:tc>
      </w:tr>
      <w:tr>
        <w:trPr>
          <w:trHeight w:val="209"/>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 Mitchell</w:t>
            </w:r>
          </w:p>
        </w:tc>
      </w:tr>
      <w:tr>
        <w:trPr>
          <w:trHeight w:val="215"/>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3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ectPr>
          <w:pgSz w:w="11900" w:h="16838" w:orient="portrait"/>
          <w:cols w:equalWidth="0" w:num="1">
            <w:col w:w="11240"/>
          </w:cols>
          <w:pgMar w:left="320" w:top="144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spacing w:after="0" w:line="221"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Joe Vernachio, certify that:</w:t>
      </w:r>
    </w:p>
    <w:p>
      <w:pPr>
        <w:spacing w:after="0" w:line="178"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Allbirds, Inc.;</w:t>
      </w:r>
    </w:p>
    <w:p>
      <w:pPr>
        <w:spacing w:after="0" w:line="191" w:lineRule="exact"/>
        <w:rPr>
          <w:rFonts w:ascii="Times New Roman" w:cs="Times New Roman" w:eastAsia="Times New Roman" w:hAnsi="Times New Roman"/>
          <w:sz w:val="17"/>
          <w:szCs w:val="17"/>
          <w:color w:val="auto"/>
        </w:rPr>
      </w:pPr>
    </w:p>
    <w:p>
      <w:pPr>
        <w:ind w:left="620" w:hanging="617"/>
        <w:spacing w:after="0" w:line="239" w:lineRule="auto"/>
        <w:tabs>
          <w:tab w:leader="none" w:pos="32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620" w:hanging="617"/>
        <w:spacing w:after="0" w:line="255" w:lineRule="auto"/>
        <w:tabs>
          <w:tab w:leader="none" w:pos="34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620" w:right="220" w:hanging="617"/>
        <w:spacing w:after="0" w:line="254" w:lineRule="auto"/>
        <w:tabs>
          <w:tab w:leader="none" w:pos="29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1240" w:hanging="618"/>
        <w:spacing w:after="0" w:line="228" w:lineRule="auto"/>
        <w:tabs>
          <w:tab w:leader="none" w:pos="98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ind w:left="1240" w:hanging="618"/>
        <w:spacing w:after="0" w:line="254" w:lineRule="auto"/>
        <w:tabs>
          <w:tab w:leader="none" w:pos="99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7"/>
          <w:szCs w:val="17"/>
          <w:color w:val="auto"/>
        </w:rPr>
      </w:pPr>
    </w:p>
    <w:p>
      <w:pPr>
        <w:ind w:left="1240" w:hanging="618"/>
        <w:spacing w:after="0" w:line="255" w:lineRule="auto"/>
        <w:tabs>
          <w:tab w:leader="none" w:pos="85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7"/>
          <w:szCs w:val="17"/>
          <w:color w:val="auto"/>
        </w:rPr>
      </w:pPr>
    </w:p>
    <w:p>
      <w:pPr>
        <w:ind w:left="1240" w:hanging="618"/>
        <w:spacing w:after="0" w:line="233" w:lineRule="auto"/>
        <w:tabs>
          <w:tab w:leader="none" w:pos="100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7"/>
          <w:szCs w:val="17"/>
          <w:color w:val="auto"/>
        </w:rPr>
      </w:pPr>
    </w:p>
    <w:p>
      <w:pPr>
        <w:ind w:left="620" w:hanging="617"/>
        <w:spacing w:after="0" w:line="239" w:lineRule="auto"/>
        <w:tabs>
          <w:tab w:leader="none" w:pos="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1240" w:hanging="618"/>
        <w:spacing w:after="0" w:line="239" w:lineRule="auto"/>
        <w:tabs>
          <w:tab w:leader="none" w:pos="104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240" w:hanging="594"/>
        <w:spacing w:after="0" w:line="255" w:lineRule="auto"/>
        <w:tabs>
          <w:tab w:leader="none" w:pos="1008"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5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41910</wp:posOffset>
            </wp:positionV>
            <wp:extent cx="15309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8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Joe Vernachio</w:t>
      </w:r>
    </w:p>
    <w:p>
      <w:pPr>
        <w:spacing w:after="0" w:line="8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8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0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jc w:val="center"/>
        <w:spacing w:after="0" w:line="221"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Ann Mitchell, certify that:</w:t>
      </w:r>
    </w:p>
    <w:p>
      <w:pPr>
        <w:spacing w:after="0" w:line="178" w:lineRule="exact"/>
        <w:rPr>
          <w:sz w:val="20"/>
          <w:szCs w:val="20"/>
          <w:color w:val="auto"/>
        </w:rPr>
      </w:pPr>
    </w:p>
    <w:p>
      <w:pPr>
        <w:ind w:left="300" w:hanging="297"/>
        <w:spacing w:after="0"/>
        <w:tabs>
          <w:tab w:leader="none" w:pos="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Allbirds, Inc.;</w:t>
      </w:r>
    </w:p>
    <w:p>
      <w:pPr>
        <w:spacing w:after="0" w:line="191" w:lineRule="exact"/>
        <w:rPr>
          <w:rFonts w:ascii="Times New Roman" w:cs="Times New Roman" w:eastAsia="Times New Roman" w:hAnsi="Times New Roman"/>
          <w:sz w:val="17"/>
          <w:szCs w:val="17"/>
          <w:color w:val="auto"/>
        </w:rPr>
      </w:pPr>
    </w:p>
    <w:p>
      <w:pPr>
        <w:ind w:left="620" w:hanging="617"/>
        <w:spacing w:after="0" w:line="239" w:lineRule="auto"/>
        <w:tabs>
          <w:tab w:leader="none" w:pos="32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left="620" w:hanging="617"/>
        <w:spacing w:after="0" w:line="255" w:lineRule="auto"/>
        <w:tabs>
          <w:tab w:leader="none" w:pos="34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620" w:hanging="617"/>
        <w:spacing w:after="0" w:line="233" w:lineRule="auto"/>
        <w:tabs>
          <w:tab w:leader="none" w:pos="33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Times New Roman" w:cs="Times New Roman" w:eastAsia="Times New Roman" w:hAnsi="Times New Roman"/>
          <w:sz w:val="17"/>
          <w:szCs w:val="17"/>
          <w:color w:val="auto"/>
        </w:rPr>
      </w:pPr>
    </w:p>
    <w:p>
      <w:pPr>
        <w:ind w:left="1240" w:hanging="618"/>
        <w:spacing w:after="0" w:line="233" w:lineRule="auto"/>
        <w:tabs>
          <w:tab w:leader="none" w:pos="98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7"/>
          <w:szCs w:val="17"/>
          <w:color w:val="auto"/>
        </w:rPr>
      </w:pPr>
    </w:p>
    <w:p>
      <w:pPr>
        <w:ind w:left="1240" w:hanging="618"/>
        <w:spacing w:after="0" w:line="254" w:lineRule="auto"/>
        <w:tabs>
          <w:tab w:leader="none" w:pos="99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7"/>
          <w:szCs w:val="17"/>
          <w:color w:val="auto"/>
        </w:rPr>
      </w:pPr>
    </w:p>
    <w:p>
      <w:pPr>
        <w:ind w:left="1240" w:hanging="618"/>
        <w:spacing w:after="0" w:line="287" w:lineRule="auto"/>
        <w:tabs>
          <w:tab w:leader="none" w:pos="85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00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7"/>
          <w:szCs w:val="17"/>
          <w:color w:val="auto"/>
        </w:rPr>
      </w:pPr>
    </w:p>
    <w:p>
      <w:pPr>
        <w:ind w:left="620" w:hanging="617"/>
        <w:spacing w:after="0" w:line="239" w:lineRule="auto"/>
        <w:tabs>
          <w:tab w:leader="none" w:pos="39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left="1240" w:hanging="618"/>
        <w:spacing w:after="0" w:line="255" w:lineRule="auto"/>
        <w:tabs>
          <w:tab w:leader="none" w:pos="104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7"/>
          <w:szCs w:val="17"/>
          <w:color w:val="auto"/>
        </w:rPr>
      </w:pPr>
    </w:p>
    <w:p>
      <w:pPr>
        <w:ind w:left="1240" w:hanging="594"/>
        <w:spacing w:after="0" w:line="239" w:lineRule="auto"/>
        <w:tabs>
          <w:tab w:leader="none" w:pos="1008"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39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/s/ Ann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17145</wp:posOffset>
            </wp:positionV>
            <wp:extent cx="15309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1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Ann Mitchell</w:t>
      </w:r>
    </w:p>
    <w:p>
      <w:pPr>
        <w:spacing w:after="0" w:line="2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10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ind w:left="3460"/>
        <w:spacing w:after="0" w:line="221" w:lineRule="auto"/>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9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Joe Vernachio, Chief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of Allbirds, Inc. (the “Company”), hereby certifies that, to the best of his knowledge:</w:t>
      </w:r>
    </w:p>
    <w:p>
      <w:pPr>
        <w:spacing w:after="0" w:line="160" w:lineRule="exact"/>
        <w:rPr>
          <w:sz w:val="20"/>
          <w:szCs w:val="20"/>
          <w:color w:val="auto"/>
        </w:rPr>
      </w:pPr>
    </w:p>
    <w:p>
      <w:pPr>
        <w:ind w:left="620" w:hanging="617"/>
        <w:spacing w:after="0" w:line="239"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10-Q for the period ended March 31, 2026, to which this Certification is attached as Exhibit 32.1 (the “Periodic Report”), fully complies with the requirements of Section 13(a) or Section 15(d) of the Exchange Act; and</w:t>
      </w:r>
    </w:p>
    <w:p>
      <w:pPr>
        <w:spacing w:after="0" w:line="165"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30"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17145</wp:posOffset>
            </wp:positionV>
            <wp:extent cx="15309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1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Joe Vernachio</w:t>
      </w:r>
    </w:p>
    <w:p>
      <w:pPr>
        <w:spacing w:after="0" w:line="2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0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ind w:left="3460"/>
        <w:spacing w:after="0" w:line="221" w:lineRule="auto"/>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39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as adopted pursuant to Section 906 of the Sarbanes-Oxley Act of 2002, Ann Mitchell, Chief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of Allbirds, Inc. (the “Company”), hereby certifies that, to the best of her knowledge:</w:t>
      </w:r>
    </w:p>
    <w:p>
      <w:pPr>
        <w:spacing w:after="0" w:line="160" w:lineRule="exact"/>
        <w:rPr>
          <w:sz w:val="20"/>
          <w:szCs w:val="20"/>
          <w:color w:val="auto"/>
        </w:rPr>
      </w:pPr>
    </w:p>
    <w:p>
      <w:pPr>
        <w:ind w:left="620" w:hanging="617"/>
        <w:spacing w:after="0" w:line="239" w:lineRule="auto"/>
        <w:tabs>
          <w:tab w:leader="none" w:pos="34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period ended March 31, 2026, to which this Certification is attached as Exhibit 32.2 (the “Periodic Report”), fully complies with the requirements of Section 13(a) or Section 15(d) of the Exchange Act; and</w:t>
      </w:r>
    </w:p>
    <w:p>
      <w:pPr>
        <w:spacing w:after="0" w:line="165" w:lineRule="exact"/>
        <w:rPr>
          <w:rFonts w:ascii="Times New Roman" w:cs="Times New Roman" w:eastAsia="Times New Roman" w:hAnsi="Times New Roman"/>
          <w:sz w:val="17"/>
          <w:szCs w:val="17"/>
          <w:color w:val="auto"/>
        </w:rPr>
      </w:pPr>
    </w:p>
    <w:p>
      <w:pPr>
        <w:ind w:right="360" w:firstLine="3"/>
        <w:spacing w:after="0" w:line="490" w:lineRule="auto"/>
        <w:tabs>
          <w:tab w:leader="none" w:pos="29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 Date: May 14, 2026</w:t>
      </w:r>
    </w:p>
    <w:p>
      <w:pPr>
        <w:spacing w:after="0" w:line="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/s/ Ann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17145</wp:posOffset>
            </wp:positionV>
            <wp:extent cx="15309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1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Ann Mitchell</w:t>
      </w:r>
    </w:p>
    <w:p>
      <w:pPr>
        <w:spacing w:after="0" w:line="2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decimal"/>
      <w:start w:val="4"/>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decimal"/>
      <w:start w:val="7"/>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2"/>
      <w:numFmt w:val="bullet"/>
      <w:start w:val="1"/>
    </w:lvl>
  </w:abstractNum>
  <w:abstractNum w:abstractNumId="15">
    <w:nsid w:val="79838CB2"/>
    <w:multiLevelType w:val="hybridMultilevel"/>
    <w:lvl w:ilvl="0">
      <w:lvlJc w:val="left"/>
      <w:lvlText w:val="3"/>
      <w:numFmt w:val="bullet"/>
      <w:start w:val="1"/>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1"/>
    </w:lvl>
  </w:abstractNum>
  <w:abstractNum w:abstractNumId="20">
    <w:nsid w:val="71F32454"/>
    <w:multiLevelType w:val="hybridMultilevel"/>
    <w:lvl w:ilvl="0">
      <w:lvlJc w:val="left"/>
      <w:lvlText w:val="%1."/>
      <w:numFmt w:val="decimal"/>
      <w:start w:val="12"/>
    </w:lvl>
  </w:abstractNum>
  <w:abstractNum w:abstractNumId="21">
    <w:nsid w:val="2CA88611"/>
    <w:multiLevelType w:val="hybridMultilevel"/>
    <w:lvl w:ilvl="0">
      <w:lvlJc w:val="left"/>
      <w:lvlText w:val="%1."/>
      <w:numFmt w:val="decimal"/>
      <w:start w:val="1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Roman"/>
      <w:start w:val="2"/>
    </w:lvl>
  </w:abstractNum>
  <w:abstractNum w:abstractNumId="26">
    <w:nsid w:val="1E7FF521"/>
    <w:multiLevelType w:val="hybridMultilevel"/>
    <w:lvl w:ilvl="0">
      <w:lvlJc w:val="left"/>
      <w:lvlText w:val="%1"/>
      <w:numFmt w:val="decimal"/>
      <w:start w:val="104"/>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89" Type="http://schemas.openxmlformats.org/officeDocument/2006/relationships/hyperlink" Target="https://www.sec.gov/Archives/edgar/data/1653909/000162828021022029/exhibit31-8xk.htm" TargetMode="External"/><Relationship Id="rId90" Type="http://schemas.openxmlformats.org/officeDocument/2006/relationships/hyperlink" Target="https://www.sec.gov/Archives/edgar/data/1653909/000165390924000064/rsscharteramendment.htm" TargetMode="External"/><Relationship Id="rId91" Type="http://schemas.openxmlformats.org/officeDocument/2006/relationships/hyperlink" Target="https://www.sec.gov/Archives/edgar/data/1653909/000165390923000093/allbirds-arbylawsaugust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2026-05-15T05:39:29Z</dcterms:created>
  <dcterms:modified xsi:type="dcterms:W3CDTF">2026-05-15T05:39:29Z</dcterms:modified>
</cp:coreProperties>
</file>